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EB" w:rsidRPr="00D61BEB" w:rsidRDefault="00D61BEB" w:rsidP="00D61BEB">
      <w:pPr>
        <w:jc w:val="center"/>
        <w:outlineLvl w:val="0"/>
        <w:rPr>
          <w:b/>
          <w:sz w:val="28"/>
          <w:szCs w:val="28"/>
        </w:rPr>
      </w:pPr>
      <w:r w:rsidRPr="00D61BEB">
        <w:rPr>
          <w:b/>
          <w:sz w:val="28"/>
          <w:szCs w:val="28"/>
        </w:rPr>
        <w:t>Iowa’s Commercial Turtle Harvest</w:t>
      </w:r>
    </w:p>
    <w:p w:rsidR="00D61BEB" w:rsidRDefault="00D61BEB" w:rsidP="00D61BEB">
      <w:pPr>
        <w:jc w:val="center"/>
        <w:outlineLvl w:val="0"/>
      </w:pPr>
      <w:r>
        <w:t>Joint Committee on Turtle Harvest</w:t>
      </w:r>
    </w:p>
    <w:p w:rsidR="00D61BEB" w:rsidRDefault="00D61BEB" w:rsidP="00D61BEB">
      <w:pPr>
        <w:jc w:val="center"/>
        <w:outlineLvl w:val="0"/>
      </w:pPr>
      <w:r>
        <w:t>Fisheries and Wildlife Bureaus</w:t>
      </w:r>
    </w:p>
    <w:p w:rsidR="00D61BEB" w:rsidRDefault="00D61BEB" w:rsidP="00D61BEB">
      <w:pPr>
        <w:jc w:val="center"/>
        <w:outlineLvl w:val="0"/>
      </w:pPr>
      <w:r>
        <w:t>Iowa Department of Natural Resources</w:t>
      </w:r>
    </w:p>
    <w:p w:rsidR="00D61BEB" w:rsidRDefault="00D61BEB" w:rsidP="00D61BEB">
      <w:pPr>
        <w:jc w:val="center"/>
      </w:pPr>
    </w:p>
    <w:p w:rsidR="00D61BEB" w:rsidRPr="005B0368" w:rsidRDefault="00D61BEB" w:rsidP="00D61BEB">
      <w:pPr>
        <w:outlineLvl w:val="0"/>
        <w:rPr>
          <w:b/>
        </w:rPr>
      </w:pPr>
      <w:r w:rsidRPr="005B0368">
        <w:rPr>
          <w:b/>
        </w:rPr>
        <w:t xml:space="preserve">Committee </w:t>
      </w:r>
      <w:r>
        <w:rPr>
          <w:b/>
        </w:rPr>
        <w:t>M</w:t>
      </w:r>
      <w:r w:rsidRPr="005B0368">
        <w:rPr>
          <w:b/>
        </w:rPr>
        <w:t>embers:</w:t>
      </w:r>
    </w:p>
    <w:p w:rsidR="00D61BEB" w:rsidRDefault="00D61BEB" w:rsidP="00D61BEB">
      <w:pPr>
        <w:ind w:left="720"/>
        <w:outlineLvl w:val="0"/>
      </w:pPr>
      <w:r>
        <w:t>Scott Gritters, Iowa DNR Fisheries Bureau</w:t>
      </w:r>
    </w:p>
    <w:p w:rsidR="00D61BEB" w:rsidRDefault="00D61BEB" w:rsidP="00D61BEB">
      <w:pPr>
        <w:ind w:left="720"/>
      </w:pPr>
      <w:r>
        <w:t xml:space="preserve">Karen </w:t>
      </w:r>
      <w:smartTag w:uri="urn:schemas-microsoft-com:office:smarttags" w:element="City">
        <w:smartTag w:uri="urn:schemas-microsoft-com:office:smarttags" w:element="place">
          <w:r>
            <w:t>Osterkamp</w:t>
          </w:r>
        </w:smartTag>
        <w:r>
          <w:t xml:space="preserve">, </w:t>
        </w:r>
        <w:smartTag w:uri="urn:schemas-microsoft-com:office:smarttags" w:element="State">
          <w:r>
            <w:t>Iowa</w:t>
          </w:r>
        </w:smartTag>
      </w:smartTag>
      <w:r>
        <w:t xml:space="preserve"> DNR Fisheries Bureau</w:t>
      </w:r>
    </w:p>
    <w:p w:rsidR="00D61BEB" w:rsidRDefault="00D61BEB" w:rsidP="00D61BEB">
      <w:pPr>
        <w:ind w:left="720"/>
      </w:pPr>
      <w:r>
        <w:t xml:space="preserve">Denny </w:t>
      </w:r>
      <w:smartTag w:uri="urn:schemas-microsoft-com:office:smarttags" w:element="City">
        <w:smartTag w:uri="urn:schemas-microsoft-com:office:smarttags" w:element="place">
          <w:r>
            <w:t>Weiss</w:t>
          </w:r>
        </w:smartTag>
        <w:r>
          <w:t xml:space="preserve">, </w:t>
        </w:r>
        <w:smartTag w:uri="urn:schemas-microsoft-com:office:smarttags" w:element="State">
          <w:r>
            <w:t>Iowa</w:t>
          </w:r>
        </w:smartTag>
      </w:smartTag>
      <w:r>
        <w:t xml:space="preserve"> DNR Fisheries Bureau</w:t>
      </w:r>
    </w:p>
    <w:p w:rsidR="00D61BEB" w:rsidRDefault="00D61BEB" w:rsidP="00D61BEB">
      <w:pPr>
        <w:ind w:left="720"/>
      </w:pPr>
      <w:smartTag w:uri="urn:schemas-microsoft-com:office:smarttags" w:element="country-region">
        <w:r>
          <w:t>Chad</w:t>
        </w:r>
      </w:smartTag>
      <w:r>
        <w:t xml:space="preserve"> </w:t>
      </w:r>
      <w:smartTag w:uri="urn:schemas-microsoft-com:office:smarttags" w:element="City">
        <w:smartTag w:uri="urn:schemas-microsoft-com:office:smarttags" w:element="place">
          <w:r>
            <w:t>Dolan</w:t>
          </w:r>
        </w:smartTag>
        <w:r>
          <w:t xml:space="preserve">, </w:t>
        </w:r>
        <w:smartTag w:uri="urn:schemas-microsoft-com:office:smarttags" w:element="State">
          <w:r>
            <w:t>Iowa</w:t>
          </w:r>
        </w:smartTag>
      </w:smartTag>
      <w:r>
        <w:t xml:space="preserve"> DNR Fisheries Bureau</w:t>
      </w:r>
    </w:p>
    <w:p w:rsidR="00D61BEB" w:rsidRDefault="00D61BEB" w:rsidP="00D61BEB">
      <w:pPr>
        <w:ind w:left="720"/>
      </w:pPr>
      <w:r>
        <w:t>Mike Mason, Iowa DNR Fisheries Bureau</w:t>
      </w:r>
    </w:p>
    <w:p w:rsidR="00D61BEB" w:rsidRDefault="00D61BEB" w:rsidP="00D61BEB">
      <w:pPr>
        <w:ind w:left="720"/>
      </w:pPr>
      <w:r>
        <w:t>Karen Kinkead, Iowa DNR Wildlife Bureau</w:t>
      </w:r>
    </w:p>
    <w:p w:rsidR="002357A1" w:rsidRDefault="0091760C" w:rsidP="007B10CF">
      <w:pPr>
        <w:ind w:left="720"/>
      </w:pPr>
      <w:r>
        <w:t>Mi</w:t>
      </w:r>
      <w:r w:rsidR="009639E0">
        <w:t>ke</w:t>
      </w:r>
      <w:r>
        <w:t xml:space="preserve"> Steuck, Iowa DNR Fisheries Burea</w:t>
      </w:r>
      <w:r w:rsidR="007B10CF">
        <w:t>u</w:t>
      </w:r>
    </w:p>
    <w:p w:rsidR="00DC77CB" w:rsidRDefault="00DC77CB" w:rsidP="00AB34D0">
      <w:pPr>
        <w:jc w:val="both"/>
      </w:pPr>
    </w:p>
    <w:p w:rsidR="00DC77CB" w:rsidRDefault="00DC77CB" w:rsidP="00DC77CB">
      <w:pPr>
        <w:jc w:val="both"/>
        <w:rPr>
          <w:b/>
          <w:sz w:val="28"/>
          <w:szCs w:val="28"/>
        </w:rPr>
      </w:pPr>
      <w:r>
        <w:rPr>
          <w:b/>
          <w:sz w:val="28"/>
          <w:szCs w:val="28"/>
        </w:rPr>
        <w:t>Introduction</w:t>
      </w:r>
    </w:p>
    <w:p w:rsidR="008A12F0" w:rsidRPr="00146E08" w:rsidRDefault="003640CA" w:rsidP="00AB34D0">
      <w:pPr>
        <w:jc w:val="both"/>
      </w:pPr>
      <w:r w:rsidRPr="00146E08">
        <w:t xml:space="preserve">On March 11, 2009, the Iowa </w:t>
      </w:r>
      <w:r w:rsidR="008A12F0" w:rsidRPr="00146E08">
        <w:t>Department of Natural Resources (DNR)</w:t>
      </w:r>
      <w:r w:rsidRPr="00146E08">
        <w:t xml:space="preserve"> received a formal petition from the Center </w:t>
      </w:r>
      <w:r w:rsidR="00386A6A">
        <w:t>for</w:t>
      </w:r>
      <w:r w:rsidRPr="00146E08">
        <w:t xml:space="preserve"> Biological Diversity, </w:t>
      </w:r>
      <w:r w:rsidR="00361069">
        <w:t>and five other Iowa organizations</w:t>
      </w:r>
      <w:r w:rsidR="00386A6A">
        <w:t xml:space="preserve"> (i.e.</w:t>
      </w:r>
      <w:r w:rsidR="00361069">
        <w:t xml:space="preserve">, the Center for Food Safety, Center for North American Herpetology, Center for Reptile and Amphibian Conservation Management, Iowa Chapter of the Sierra Club, and </w:t>
      </w:r>
      <w:proofErr w:type="spellStart"/>
      <w:r w:rsidR="00361069">
        <w:t>Tallgrass</w:t>
      </w:r>
      <w:proofErr w:type="spellEnd"/>
      <w:r w:rsidR="00361069">
        <w:t xml:space="preserve"> Prairie Audubon Society</w:t>
      </w:r>
      <w:r w:rsidR="00386A6A">
        <w:t>)</w:t>
      </w:r>
      <w:r w:rsidRPr="00146E08">
        <w:t xml:space="preserve"> requesting the immediate repeal of Iowa’s Commercial Turtle Harvest Rule.  </w:t>
      </w:r>
      <w:r w:rsidR="008A12F0" w:rsidRPr="00146E08">
        <w:t xml:space="preserve">In effect, such </w:t>
      </w:r>
      <w:proofErr w:type="gramStart"/>
      <w:r w:rsidR="008A12F0" w:rsidRPr="00146E08">
        <w:t>a repeal</w:t>
      </w:r>
      <w:proofErr w:type="gramEnd"/>
      <w:r w:rsidR="008A12F0" w:rsidRPr="00146E08">
        <w:t xml:space="preserve"> would have closed commercial turtle harvest in Iowa.  </w:t>
      </w:r>
      <w:r w:rsidRPr="00146E08">
        <w:t xml:space="preserve">In response, </w:t>
      </w:r>
      <w:r w:rsidR="008A12F0" w:rsidRPr="00146E08">
        <w:t>t</w:t>
      </w:r>
      <w:r w:rsidRPr="00146E08">
        <w:t xml:space="preserve">he Fishing and Aquaculture Association submitted a rebuttal paper in April 2009.  </w:t>
      </w:r>
      <w:r w:rsidR="008A12F0" w:rsidRPr="00146E08">
        <w:t>In May 2009, t</w:t>
      </w:r>
      <w:r w:rsidRPr="00146E08">
        <w:t>he Iowa DN</w:t>
      </w:r>
      <w:r w:rsidR="00361069">
        <w:t>R Natural Resource Commission</w:t>
      </w:r>
      <w:r w:rsidRPr="00146E08">
        <w:t xml:space="preserve"> voted to deny the petition by the Center for Biological Diversity </w:t>
      </w:r>
      <w:r w:rsidR="008A12F0" w:rsidRPr="00146E08">
        <w:t>and instructed the DNR</w:t>
      </w:r>
      <w:r w:rsidRPr="00146E08">
        <w:t xml:space="preserve"> Fisheries Bureau to </w:t>
      </w:r>
      <w:r w:rsidR="008A12F0" w:rsidRPr="00146E08">
        <w:t xml:space="preserve">review the status of turtle populations in Iowa.  If deemed necessary, the DNR was to present recommended regulation changes </w:t>
      </w:r>
      <w:r w:rsidRPr="00146E08">
        <w:t xml:space="preserve">to ensure </w:t>
      </w:r>
      <w:r w:rsidR="008A12F0" w:rsidRPr="00146E08">
        <w:t xml:space="preserve">a sustainable </w:t>
      </w:r>
      <w:r w:rsidRPr="00146E08">
        <w:t xml:space="preserve">turtle harvest in Iowa.  </w:t>
      </w:r>
    </w:p>
    <w:p w:rsidR="003640CA" w:rsidRPr="00146E08" w:rsidRDefault="008A12F0" w:rsidP="00AB34D0">
      <w:pPr>
        <w:jc w:val="both"/>
      </w:pPr>
      <w:r w:rsidRPr="00146E08">
        <w:t xml:space="preserve">The Iowa DNR subsequently </w:t>
      </w:r>
      <w:r w:rsidR="003640CA" w:rsidRPr="00146E08">
        <w:t xml:space="preserve">formed a committee of </w:t>
      </w:r>
      <w:r w:rsidRPr="00146E08">
        <w:t>fisheries and w</w:t>
      </w:r>
      <w:r w:rsidR="003640CA" w:rsidRPr="00146E08">
        <w:t xml:space="preserve">ildlife </w:t>
      </w:r>
      <w:r w:rsidRPr="00146E08">
        <w:t>b</w:t>
      </w:r>
      <w:r w:rsidR="003640CA" w:rsidRPr="00146E08">
        <w:t>iologists</w:t>
      </w:r>
      <w:r w:rsidRPr="00146E08">
        <w:t xml:space="preserve"> </w:t>
      </w:r>
      <w:r w:rsidR="00386A6A">
        <w:t>with</w:t>
      </w:r>
      <w:r w:rsidR="00A25590">
        <w:t xml:space="preserve"> </w:t>
      </w:r>
      <w:r w:rsidRPr="00146E08">
        <w:t xml:space="preserve">expertise in Iowa turtles, turtle sampling, and turtle harvest management.  This committee was tasked with </w:t>
      </w:r>
      <w:r w:rsidR="003640CA" w:rsidRPr="00146E08">
        <w:t>review</w:t>
      </w:r>
      <w:r w:rsidRPr="00146E08">
        <w:t>ing</w:t>
      </w:r>
      <w:r w:rsidR="003640CA" w:rsidRPr="00146E08">
        <w:t xml:space="preserve"> </w:t>
      </w:r>
      <w:r w:rsidRPr="00146E08">
        <w:t xml:space="preserve">the turtle </w:t>
      </w:r>
      <w:r w:rsidR="003640CA" w:rsidRPr="00146E08">
        <w:t xml:space="preserve">program </w:t>
      </w:r>
      <w:r w:rsidRPr="00146E08">
        <w:t>from an unbiased</w:t>
      </w:r>
      <w:r w:rsidR="00A25590">
        <w:t>,</w:t>
      </w:r>
      <w:r w:rsidRPr="00146E08">
        <w:t xml:space="preserve"> scientific standpoint</w:t>
      </w:r>
      <w:r w:rsidR="00693359" w:rsidRPr="00146E08">
        <w:t xml:space="preserve"> and recommending regulations and program changes if deemed necessary</w:t>
      </w:r>
      <w:r w:rsidRPr="00146E08">
        <w:t xml:space="preserve">.  </w:t>
      </w:r>
    </w:p>
    <w:p w:rsidR="003640CA" w:rsidRPr="00146E08" w:rsidRDefault="00693359" w:rsidP="00AB34D0">
      <w:pPr>
        <w:jc w:val="both"/>
      </w:pPr>
      <w:r w:rsidRPr="00146E08">
        <w:lastRenderedPageBreak/>
        <w:t xml:space="preserve">The primary goal of the Iowa DNR’s Commercial Turtle Program is to maintain </w:t>
      </w:r>
      <w:r w:rsidR="003640CA" w:rsidRPr="00146E08">
        <w:t xml:space="preserve">viable self-sustaining native turtle populations </w:t>
      </w:r>
      <w:r w:rsidR="00337C45">
        <w:t xml:space="preserve">without the aid of stocking </w:t>
      </w:r>
      <w:r w:rsidRPr="00146E08">
        <w:t>that allow</w:t>
      </w:r>
      <w:r w:rsidR="00386A6A">
        <w:t>s</w:t>
      </w:r>
      <w:r w:rsidRPr="00146E08">
        <w:t xml:space="preserve"> for </w:t>
      </w:r>
      <w:r w:rsidR="003640CA" w:rsidRPr="00146E08">
        <w:t>sustainable</w:t>
      </w:r>
      <w:r w:rsidRPr="00146E08">
        <w:t xml:space="preserve"> harvest of commercial species </w:t>
      </w:r>
      <w:r w:rsidR="003640CA" w:rsidRPr="00146E08">
        <w:t xml:space="preserve">with assurance of consumption safety.  </w:t>
      </w:r>
      <w:r w:rsidRPr="00146E08">
        <w:t xml:space="preserve">The committee reviewed </w:t>
      </w:r>
      <w:r w:rsidR="002469E8">
        <w:t>various issues concerning Iowa turtles</w:t>
      </w:r>
      <w:r w:rsidRPr="00146E08">
        <w:t xml:space="preserve"> </w:t>
      </w:r>
      <w:r w:rsidR="002469E8">
        <w:t>including</w:t>
      </w:r>
      <w:r w:rsidRPr="00146E08">
        <w:t xml:space="preserve"> turtle biology, current harvest levels in Iowa, forecasted future turtle harvest, consumption and health of eating turtle meat, factors that influence turtle populations, harvesters</w:t>
      </w:r>
      <w:r w:rsidR="00386A6A">
        <w:t>’</w:t>
      </w:r>
      <w:r w:rsidRPr="00146E08">
        <w:t xml:space="preserve"> attitudes and a variety</w:t>
      </w:r>
      <w:r w:rsidR="00B703C2">
        <w:t xml:space="preserve"> of related issues.  </w:t>
      </w:r>
      <w:r w:rsidR="00386A6A">
        <w:t xml:space="preserve">Based on </w:t>
      </w:r>
      <w:r w:rsidR="009C11A5">
        <w:t>available</w:t>
      </w:r>
      <w:r w:rsidR="00386A6A">
        <w:t xml:space="preserve">, </w:t>
      </w:r>
      <w:r w:rsidR="00544C56">
        <w:t xml:space="preserve">scientific </w:t>
      </w:r>
      <w:r w:rsidR="00386A6A">
        <w:t>information</w:t>
      </w:r>
      <w:r w:rsidR="009C11A5">
        <w:t xml:space="preserve"> a complete closure </w:t>
      </w:r>
      <w:r w:rsidR="00386A6A">
        <w:t xml:space="preserve">was </w:t>
      </w:r>
      <w:r w:rsidR="0091760C">
        <w:t xml:space="preserve">unsupported </w:t>
      </w:r>
      <w:r w:rsidR="009C11A5">
        <w:t xml:space="preserve">at this time.  </w:t>
      </w:r>
      <w:r w:rsidR="00E04468" w:rsidRPr="00146E08">
        <w:t>However,</w:t>
      </w:r>
      <w:r w:rsidR="00E04468">
        <w:t xml:space="preserve"> given the</w:t>
      </w:r>
      <w:r w:rsidR="00E04468" w:rsidRPr="00146E08">
        <w:t xml:space="preserve"> </w:t>
      </w:r>
      <w:r w:rsidR="00E04468">
        <w:t xml:space="preserve">life history characteristics that could be impacted by exploitation, </w:t>
      </w:r>
      <w:r w:rsidR="00E04468" w:rsidRPr="00146E08">
        <w:t xml:space="preserve">continued increases in demand, and </w:t>
      </w:r>
      <w:r w:rsidR="00E04468">
        <w:t xml:space="preserve">anthropogenic </w:t>
      </w:r>
      <w:r w:rsidR="00E04468" w:rsidRPr="00146E08">
        <w:t xml:space="preserve">threats </w:t>
      </w:r>
      <w:r w:rsidR="00E04468">
        <w:t xml:space="preserve">that face </w:t>
      </w:r>
      <w:r w:rsidR="00E04468" w:rsidRPr="00146E08">
        <w:t>turtles in Iowa</w:t>
      </w:r>
      <w:r w:rsidRPr="00146E08">
        <w:t xml:space="preserve"> – the Committee determined that program and regulation changes </w:t>
      </w:r>
      <w:r w:rsidR="009C11A5">
        <w:t>in addition to initiating a rigorous statewide turtle sampling study</w:t>
      </w:r>
      <w:r w:rsidR="009C11A5" w:rsidRPr="00146E08">
        <w:t xml:space="preserve"> </w:t>
      </w:r>
      <w:r w:rsidR="00544C56">
        <w:t>we</w:t>
      </w:r>
      <w:r w:rsidRPr="00146E08">
        <w:t xml:space="preserve">re necessary to ensure the commercial harvest of Iowa’s turtle populations is sustainable.  Below is a brief synopsis of their findings.  </w:t>
      </w:r>
    </w:p>
    <w:p w:rsidR="003640CA" w:rsidRPr="00146E08" w:rsidRDefault="003640CA" w:rsidP="00AB34D0">
      <w:pPr>
        <w:jc w:val="both"/>
      </w:pPr>
    </w:p>
    <w:p w:rsidR="003E0CD8" w:rsidRDefault="003E0CD8" w:rsidP="00AB34D0">
      <w:pPr>
        <w:jc w:val="both"/>
        <w:rPr>
          <w:b/>
          <w:sz w:val="28"/>
          <w:szCs w:val="28"/>
        </w:rPr>
      </w:pPr>
      <w:r w:rsidRPr="00146E08">
        <w:rPr>
          <w:b/>
          <w:sz w:val="28"/>
          <w:szCs w:val="28"/>
        </w:rPr>
        <w:t>Current Regulations</w:t>
      </w:r>
    </w:p>
    <w:p w:rsidR="003E0CD8" w:rsidRDefault="003E0CD8" w:rsidP="00AB34D0">
      <w:pPr>
        <w:jc w:val="both"/>
      </w:pPr>
      <w:r w:rsidRPr="00146E08">
        <w:t>Iowa Code 482, Commercial Fishing, and Iowa Administrative Code, Chapter 86, regulate</w:t>
      </w:r>
      <w:r w:rsidR="00544C56">
        <w:t>s</w:t>
      </w:r>
      <w:r w:rsidRPr="00146E08">
        <w:t xml:space="preserve"> the commercial harvest of turtles in Iowa</w:t>
      </w:r>
      <w:r>
        <w:t xml:space="preserve">.  </w:t>
      </w:r>
      <w:r w:rsidRPr="00146E08">
        <w:t>A resident commercial turtle harvester license is $100 and a nonresident commercial turtle harvester license is $200.   Nonresidents may only harvest turtles on the Mississippi</w:t>
      </w:r>
      <w:r w:rsidR="005308AB">
        <w:t xml:space="preserve">, </w:t>
      </w:r>
      <w:r w:rsidRPr="00146E08">
        <w:t>Missouri</w:t>
      </w:r>
      <w:r w:rsidR="005308AB">
        <w:t xml:space="preserve"> and Big Sioux</w:t>
      </w:r>
      <w:r w:rsidRPr="00146E08">
        <w:t xml:space="preserve"> Rivers. </w:t>
      </w:r>
      <w:r w:rsidRPr="00146E08" w:rsidDel="002C3456">
        <w:t xml:space="preserve"> </w:t>
      </w:r>
      <w:r w:rsidRPr="00146E08">
        <w:t xml:space="preserve">Resident commercial turtle harvesters may take commercial turtle species from all waters of the State of Iowa.  Licensed commercial fishers may harvest turtles </w:t>
      </w:r>
      <w:r>
        <w:t>from</w:t>
      </w:r>
      <w:r w:rsidR="00E0735D">
        <w:t xml:space="preserve"> the Mississippi and Missouri Rivers only.</w:t>
      </w:r>
      <w:r w:rsidRPr="00146E08">
        <w:t xml:space="preserve">  Four turtle species can be commercially harvested in Iowa</w:t>
      </w:r>
      <w:r>
        <w:t xml:space="preserve">: </w:t>
      </w:r>
      <w:r w:rsidRPr="00146E08">
        <w:t>common snapping (</w:t>
      </w:r>
      <w:proofErr w:type="spellStart"/>
      <w:r w:rsidRPr="00146E08">
        <w:rPr>
          <w:i/>
          <w:iCs/>
        </w:rPr>
        <w:t>Chelydra</w:t>
      </w:r>
      <w:proofErr w:type="spellEnd"/>
      <w:r w:rsidRPr="00146E08">
        <w:rPr>
          <w:i/>
          <w:iCs/>
        </w:rPr>
        <w:t xml:space="preserve"> </w:t>
      </w:r>
      <w:proofErr w:type="spellStart"/>
      <w:r w:rsidRPr="00146E08">
        <w:rPr>
          <w:i/>
          <w:iCs/>
        </w:rPr>
        <w:t>serpentina</w:t>
      </w:r>
      <w:proofErr w:type="spellEnd"/>
      <w:r w:rsidRPr="00146E08">
        <w:t xml:space="preserve">), </w:t>
      </w:r>
      <w:r w:rsidR="00FF607B">
        <w:t xml:space="preserve">smooth </w:t>
      </w:r>
      <w:r w:rsidRPr="00146E08">
        <w:t>softshell (</w:t>
      </w:r>
      <w:proofErr w:type="spellStart"/>
      <w:r w:rsidRPr="00146E08">
        <w:rPr>
          <w:i/>
          <w:iCs/>
        </w:rPr>
        <w:t>Apalone</w:t>
      </w:r>
      <w:proofErr w:type="spellEnd"/>
      <w:r w:rsidRPr="00146E08">
        <w:rPr>
          <w:i/>
          <w:iCs/>
        </w:rPr>
        <w:t xml:space="preserve"> </w:t>
      </w:r>
      <w:proofErr w:type="spellStart"/>
      <w:r w:rsidRPr="00146E08">
        <w:rPr>
          <w:i/>
          <w:iCs/>
        </w:rPr>
        <w:t>mutica</w:t>
      </w:r>
      <w:proofErr w:type="spellEnd"/>
      <w:r w:rsidR="00FF607B">
        <w:t xml:space="preserve">), </w:t>
      </w:r>
      <w:proofErr w:type="gramStart"/>
      <w:r w:rsidR="00FF607B">
        <w:t>spiny</w:t>
      </w:r>
      <w:proofErr w:type="gramEnd"/>
      <w:r w:rsidR="00FF607B">
        <w:t xml:space="preserve"> softshell (</w:t>
      </w:r>
      <w:r w:rsidRPr="00146E08">
        <w:rPr>
          <w:i/>
          <w:iCs/>
        </w:rPr>
        <w:t xml:space="preserve">A. </w:t>
      </w:r>
      <w:proofErr w:type="spellStart"/>
      <w:r w:rsidRPr="00146E08">
        <w:rPr>
          <w:i/>
          <w:iCs/>
        </w:rPr>
        <w:t>spinifera</w:t>
      </w:r>
      <w:proofErr w:type="spellEnd"/>
      <w:r w:rsidRPr="00146E08">
        <w:t>), and painted (</w:t>
      </w:r>
      <w:proofErr w:type="spellStart"/>
      <w:r w:rsidRPr="00146E08">
        <w:rPr>
          <w:i/>
          <w:iCs/>
        </w:rPr>
        <w:t>Chrysemys</w:t>
      </w:r>
      <w:proofErr w:type="spellEnd"/>
      <w:r w:rsidRPr="00146E08">
        <w:rPr>
          <w:i/>
          <w:iCs/>
        </w:rPr>
        <w:t xml:space="preserve"> picta</w:t>
      </w:r>
      <w:r w:rsidRPr="00146E08">
        <w:t>)</w:t>
      </w:r>
      <w:r w:rsidR="00FF607B">
        <w:t xml:space="preserve"> turtles</w:t>
      </w:r>
      <w:r w:rsidRPr="00146E08">
        <w:t xml:space="preserve">.  </w:t>
      </w:r>
      <w:r w:rsidR="00FF607B">
        <w:t xml:space="preserve">Turtles may be legally taken </w:t>
      </w:r>
      <w:r w:rsidRPr="00146E08">
        <w:t xml:space="preserve">by hand, turtle hook, turtle trap, licensed commercial fishing gear </w:t>
      </w:r>
      <w:r>
        <w:t>(</w:t>
      </w:r>
      <w:r w:rsidRPr="00146E08">
        <w:t xml:space="preserve">in the </w:t>
      </w:r>
      <w:r>
        <w:t>Mississippi and Missouri Rivers)</w:t>
      </w:r>
      <w:r w:rsidRPr="00146E08">
        <w:t xml:space="preserve">, and hook-and-line. </w:t>
      </w:r>
      <w:r w:rsidRPr="00146E08">
        <w:rPr>
          <w:color w:val="FF9900"/>
        </w:rPr>
        <w:t xml:space="preserve"> </w:t>
      </w:r>
      <w:r w:rsidRPr="00146E08">
        <w:t>Turtle traps must be constructed with no more than one throat or funneling device.</w:t>
      </w:r>
      <w:r w:rsidRPr="00146E08">
        <w:rPr>
          <w:color w:val="FF9900"/>
        </w:rPr>
        <w:t xml:space="preserve">  </w:t>
      </w:r>
      <w:r w:rsidRPr="00146E08">
        <w:t>The last hoop to the tail-line of turtle traps must have a functional escape hole with a minimum diameter in all directions of 7½ inches</w:t>
      </w:r>
      <w:r>
        <w:t xml:space="preserve"> to </w:t>
      </w:r>
      <w:r w:rsidRPr="00146E08">
        <w:t xml:space="preserve">allow passage of fish and small turtles.  Barrel and floating type turtle traps must have a functional escape hole below the water surface with a minimum diameter </w:t>
      </w:r>
      <w:r w:rsidR="003311C2">
        <w:t xml:space="preserve">in all directions of 7½ inches.  There is no </w:t>
      </w:r>
      <w:r w:rsidR="007C6D04">
        <w:t xml:space="preserve">closed </w:t>
      </w:r>
      <w:r w:rsidR="003311C2">
        <w:t>season</w:t>
      </w:r>
      <w:r w:rsidR="00337C45">
        <w:t xml:space="preserve"> so</w:t>
      </w:r>
      <w:r w:rsidR="007C6D04">
        <w:t xml:space="preserve"> </w:t>
      </w:r>
      <w:r w:rsidR="003311C2">
        <w:t>turtles may be harvested throughout the year.</w:t>
      </w:r>
      <w:r w:rsidR="00820484">
        <w:t xml:space="preserve">  </w:t>
      </w:r>
      <w:r w:rsidRPr="00146E08">
        <w:t xml:space="preserve">Commercial turtle harvesters </w:t>
      </w:r>
      <w:r w:rsidR="007C6D04">
        <w:t xml:space="preserve">are required to report their harvest </w:t>
      </w:r>
      <w:r w:rsidRPr="00146E08">
        <w:t>to the Iowa DNR</w:t>
      </w:r>
      <w:r w:rsidR="00D44440">
        <w:t xml:space="preserve"> on a monthly basis</w:t>
      </w:r>
      <w:r w:rsidRPr="00146E08">
        <w:t xml:space="preserve">.  </w:t>
      </w:r>
    </w:p>
    <w:p w:rsidR="003E0CD8" w:rsidRDefault="003E0CD8" w:rsidP="00AB34D0">
      <w:pPr>
        <w:jc w:val="both"/>
        <w:rPr>
          <w:b/>
          <w:sz w:val="28"/>
          <w:szCs w:val="28"/>
        </w:rPr>
      </w:pPr>
    </w:p>
    <w:p w:rsidR="003640CA" w:rsidRPr="00146E08" w:rsidRDefault="003640CA" w:rsidP="00AB34D0">
      <w:pPr>
        <w:jc w:val="both"/>
        <w:rPr>
          <w:b/>
          <w:sz w:val="28"/>
          <w:szCs w:val="28"/>
        </w:rPr>
      </w:pPr>
      <w:r w:rsidRPr="00146E08">
        <w:rPr>
          <w:b/>
          <w:sz w:val="28"/>
          <w:szCs w:val="28"/>
        </w:rPr>
        <w:t>History</w:t>
      </w:r>
      <w:r w:rsidR="00120260">
        <w:rPr>
          <w:b/>
          <w:sz w:val="28"/>
          <w:szCs w:val="28"/>
        </w:rPr>
        <w:t xml:space="preserve"> of Turtle Harvest in Iowa</w:t>
      </w:r>
    </w:p>
    <w:p w:rsidR="00146E08" w:rsidRPr="00146E08" w:rsidRDefault="00120260" w:rsidP="00AB34D0">
      <w:pPr>
        <w:jc w:val="both"/>
        <w:rPr>
          <w:b/>
          <w:i/>
        </w:rPr>
      </w:pPr>
      <w:proofErr w:type="gramStart"/>
      <w:r>
        <w:rPr>
          <w:b/>
          <w:i/>
        </w:rPr>
        <w:t xml:space="preserve">Anecdotal information about turtle </w:t>
      </w:r>
      <w:r w:rsidR="00146E08" w:rsidRPr="00146E08">
        <w:rPr>
          <w:b/>
          <w:i/>
        </w:rPr>
        <w:t xml:space="preserve">harvest </w:t>
      </w:r>
      <w:r>
        <w:rPr>
          <w:b/>
          <w:i/>
        </w:rPr>
        <w:t>prior to reporting requirement (pre-1987)</w:t>
      </w:r>
      <w:r w:rsidR="00146E08" w:rsidRPr="00146E08">
        <w:rPr>
          <w:b/>
          <w:i/>
        </w:rPr>
        <w:t>.</w:t>
      </w:r>
      <w:proofErr w:type="gramEnd"/>
    </w:p>
    <w:p w:rsidR="00337C45" w:rsidRDefault="00337C45" w:rsidP="00AB34D0">
      <w:pPr>
        <w:jc w:val="both"/>
      </w:pPr>
      <w:r>
        <w:t>Turtles have been harvested for subsistence human consumption worldwide since before the written record.  Archaeological excavations have found evidence of turtle consumption from about 6,000 years ago during the Bronze Age (</w:t>
      </w:r>
      <w:proofErr w:type="spellStart"/>
      <w:r>
        <w:t>Schleich</w:t>
      </w:r>
      <w:proofErr w:type="spellEnd"/>
      <w:r>
        <w:t xml:space="preserve"> and Bohme 1994).  Gibbons and Greene (2009) state that “eating turtle eggs and larger individual turtles was a widespread practice among primitive societies living…around large rivers and lakes.  Turtles were considered an edible component of the available </w:t>
      </w:r>
      <w:r>
        <w:lastRenderedPageBreak/>
        <w:t xml:space="preserve">fauna and were consumed at a sustainable rate in situations where humans lived off the land and did not exploit turtles as a commodity.”   Post Civil War, turtle consumption in the </w:t>
      </w:r>
      <w:smartTag w:uri="urn:schemas-microsoft-com:office:smarttags" w:element="place">
        <w:smartTag w:uri="urn:schemas-microsoft-com:office:smarttags" w:element="country-region">
          <w:r>
            <w:t>United States</w:t>
          </w:r>
        </w:smartTag>
      </w:smartTag>
      <w:r>
        <w:t xml:space="preserve"> became more associated with either wealthy Americans who could pay for the meat preparation or poor, rural Americans living off the land (</w:t>
      </w:r>
      <w:proofErr w:type="spellStart"/>
      <w:r>
        <w:t>Bronner</w:t>
      </w:r>
      <w:proofErr w:type="spellEnd"/>
      <w:r>
        <w:t xml:space="preserve"> 1986).  By the early 1900s, commercial trade of turtles was common in the 28-state </w:t>
      </w:r>
      <w:smartTag w:uri="urn:schemas-microsoft-com:office:smarttags" w:element="place">
        <w:smartTag w:uri="urn:schemas-microsoft-com:office:smarttags" w:element="PlaceName">
          <w:r>
            <w:t>Mississippi</w:t>
          </w:r>
        </w:smartTag>
        <w:r>
          <w:t xml:space="preserve"> </w:t>
        </w:r>
        <w:smartTag w:uri="urn:schemas-microsoft-com:office:smarttags" w:element="PlaceType">
          <w:r>
            <w:t>River Basin</w:t>
          </w:r>
        </w:smartTag>
      </w:smartTag>
      <w:r>
        <w:t xml:space="preserve">.  </w:t>
      </w:r>
    </w:p>
    <w:p w:rsidR="00146E08" w:rsidRPr="00146E08" w:rsidRDefault="00146E08" w:rsidP="00AB34D0">
      <w:pPr>
        <w:jc w:val="both"/>
        <w:rPr>
          <w:b/>
          <w:i/>
        </w:rPr>
      </w:pPr>
      <w:r w:rsidRPr="00146E08">
        <w:rPr>
          <w:b/>
          <w:i/>
        </w:rPr>
        <w:t>Turtle harvest for the soup industry.</w:t>
      </w:r>
    </w:p>
    <w:p w:rsidR="003640CA" w:rsidRPr="00146E08" w:rsidRDefault="00FF607B" w:rsidP="00AB34D0">
      <w:pPr>
        <w:jc w:val="both"/>
      </w:pPr>
      <w:r>
        <w:t>Several c</w:t>
      </w:r>
      <w:r w:rsidR="003640CA" w:rsidRPr="00146E08">
        <w:t xml:space="preserve">ommercial turtle harvesters </w:t>
      </w:r>
      <w:r>
        <w:t xml:space="preserve">have previously </w:t>
      </w:r>
      <w:r w:rsidR="003640CA" w:rsidRPr="00146E08">
        <w:t xml:space="preserve">suggested that 300,000-400,000 pounds of Iowa caught common snapping turtles were harvested to supply meat to Campbell’s Soup Company during the 1920s-1930s.  An exhaustive literature search and personal communications with several turtle harvest experts (i.e., Peter Pritchard, Chelonian Research Institute; Paul </w:t>
      </w:r>
      <w:proofErr w:type="spellStart"/>
      <w:r w:rsidR="003640CA" w:rsidRPr="00146E08">
        <w:t>Moler</w:t>
      </w:r>
      <w:proofErr w:type="spellEnd"/>
      <w:r w:rsidR="003640CA" w:rsidRPr="00146E08">
        <w:t xml:space="preserve">, Florida Fish and Wildlife Commission) and a representative from Campbell’s Soup Company (Dorothy </w:t>
      </w:r>
      <w:proofErr w:type="spellStart"/>
      <w:r w:rsidR="003640CA" w:rsidRPr="00146E08">
        <w:t>Esola</w:t>
      </w:r>
      <w:proofErr w:type="spellEnd"/>
      <w:r w:rsidR="003640CA" w:rsidRPr="00146E08">
        <w:t xml:space="preserve">) could not substantiate this claim.  Campbell’s Soup Company was founded in 1869 and canned turtle soup was </w:t>
      </w:r>
      <w:r w:rsidR="007C6D04" w:rsidRPr="00146E08">
        <w:t xml:space="preserve">one </w:t>
      </w:r>
      <w:r w:rsidR="007C6D04">
        <w:t xml:space="preserve">of </w:t>
      </w:r>
      <w:r w:rsidR="007C6D04" w:rsidRPr="00146E08">
        <w:t>21 flavors</w:t>
      </w:r>
      <w:r w:rsidR="007C6D04">
        <w:t xml:space="preserve"> available</w:t>
      </w:r>
      <w:r w:rsidR="0091760C">
        <w:t xml:space="preserve">, </w:t>
      </w:r>
      <w:r w:rsidR="00B74C3E">
        <w:t>first produced in 1902</w:t>
      </w:r>
      <w:r w:rsidR="003640CA" w:rsidRPr="00146E08">
        <w:t xml:space="preserve">; however, their canned turtle soup was actually mock turtle soup and the meat used was veal (i.e., calf meat; Dorothy </w:t>
      </w:r>
      <w:proofErr w:type="spellStart"/>
      <w:r w:rsidR="003640CA" w:rsidRPr="00146E08">
        <w:t>Esola</w:t>
      </w:r>
      <w:proofErr w:type="spellEnd"/>
      <w:r w:rsidR="003640CA" w:rsidRPr="00146E08">
        <w:t xml:space="preserve">, personal communication).  The Campbell’s Soup Company claims that </w:t>
      </w:r>
      <w:r w:rsidR="007C6D04">
        <w:t xml:space="preserve">no </w:t>
      </w:r>
      <w:r w:rsidR="008F16C5">
        <w:t xml:space="preserve">common </w:t>
      </w:r>
      <w:r w:rsidR="003640CA" w:rsidRPr="00146E08">
        <w:t xml:space="preserve">snapping turtles, nor any other turtle species, were used in the production of its canned turtle soup.    </w:t>
      </w:r>
    </w:p>
    <w:p w:rsidR="003640CA" w:rsidRPr="00146E08" w:rsidRDefault="003640CA" w:rsidP="00AB34D0">
      <w:pPr>
        <w:jc w:val="both"/>
      </w:pPr>
      <w:r w:rsidRPr="00146E08">
        <w:t xml:space="preserve">From 1954 to 1972, Campbell’s Soup Company </w:t>
      </w:r>
      <w:r w:rsidR="00FF607B">
        <w:t>produced</w:t>
      </w:r>
      <w:r w:rsidRPr="00146E08">
        <w:t xml:space="preserve"> </w:t>
      </w:r>
      <w:r w:rsidRPr="00FF607B">
        <w:rPr>
          <w:u w:val="single"/>
        </w:rPr>
        <w:t>frozen turtle soup</w:t>
      </w:r>
      <w:r w:rsidRPr="00146E08">
        <w:t xml:space="preserve"> that include</w:t>
      </w:r>
      <w:r w:rsidR="00B74C3E">
        <w:t>d meat largely obtained from</w:t>
      </w:r>
      <w:r w:rsidRPr="00146E08">
        <w:t xml:space="preserve"> common and alligator snapping turtles (Pritchard 1989).  Although some common snapping turtles were harvested for turtle soup, most turtle meat for this frozen soup came from the larger bodie</w:t>
      </w:r>
      <w:r w:rsidR="008F16C5">
        <w:t>d</w:t>
      </w:r>
      <w:r w:rsidRPr="00146E08">
        <w:t xml:space="preserve"> alligator snapping turtles harvested in Georgia, Louisiana, Florida, Alabama, and Mississippi</w:t>
      </w:r>
      <w:r w:rsidR="008F16C5">
        <w:t xml:space="preserve"> </w:t>
      </w:r>
      <w:r w:rsidRPr="00146E08">
        <w:t xml:space="preserve">(P. Pritchard and P. </w:t>
      </w:r>
      <w:proofErr w:type="spellStart"/>
      <w:r w:rsidRPr="00146E08">
        <w:t>Moler</w:t>
      </w:r>
      <w:proofErr w:type="spellEnd"/>
      <w:r w:rsidRPr="00146E08">
        <w:t xml:space="preserve">, personal communication).  Most of these populations were depleted by commercial harvest (Pritchard 1989; Peter Pritchard, personal communication) and Campbell’s Soup Company coincidentally discontinued production of their frozen turtle soup after Florida closed </w:t>
      </w:r>
      <w:r w:rsidR="00B74C3E">
        <w:t xml:space="preserve">commercial </w:t>
      </w:r>
      <w:r w:rsidRPr="00146E08">
        <w:t xml:space="preserve">harvest of alligator snappers in 1972 (Paul </w:t>
      </w:r>
      <w:proofErr w:type="spellStart"/>
      <w:r w:rsidRPr="00146E08">
        <w:t>Moler</w:t>
      </w:r>
      <w:proofErr w:type="spellEnd"/>
      <w:r w:rsidRPr="00146E08">
        <w:t xml:space="preserve">, personal communication).  </w:t>
      </w:r>
    </w:p>
    <w:p w:rsidR="003640CA" w:rsidRPr="00146E08" w:rsidRDefault="003640CA" w:rsidP="00AB34D0">
      <w:pPr>
        <w:jc w:val="both"/>
      </w:pPr>
      <w:r w:rsidRPr="00146E08">
        <w:t>Based on this information, it seems unlikely that Iowa common snapping turtle harvest ever contributed substantially to the production of Campbell’s Soup Company’s turtle soup as previously claimed.</w:t>
      </w:r>
    </w:p>
    <w:p w:rsidR="003640CA" w:rsidRPr="00146E08" w:rsidRDefault="00146E08" w:rsidP="00AB34D0">
      <w:pPr>
        <w:jc w:val="both"/>
        <w:rPr>
          <w:b/>
          <w:i/>
        </w:rPr>
      </w:pPr>
      <w:r w:rsidRPr="00146E08">
        <w:rPr>
          <w:b/>
          <w:i/>
        </w:rPr>
        <w:t>Turtle harvest since 1987.</w:t>
      </w:r>
    </w:p>
    <w:p w:rsidR="003640CA" w:rsidRPr="00146E08" w:rsidRDefault="003640CA" w:rsidP="00AB34D0">
      <w:pPr>
        <w:jc w:val="both"/>
      </w:pPr>
      <w:r w:rsidRPr="00146E08">
        <w:t xml:space="preserve">Documentation of Iowa’s commercial turtle harvest began in 1987 when turtle harvester license holders were </w:t>
      </w:r>
      <w:r w:rsidR="00A60851">
        <w:t xml:space="preserve">first </w:t>
      </w:r>
      <w:r w:rsidRPr="00146E08">
        <w:t>required to report numbers and locations (county</w:t>
      </w:r>
      <w:r w:rsidR="00B74C3E">
        <w:t xml:space="preserve"> level only</w:t>
      </w:r>
      <w:r w:rsidRPr="00146E08">
        <w:t xml:space="preserve">) of turtles harvested.  In 1987, the Iowa Conservation Commission (now the Iowa DNR) issued 37 commercial turtle harvester licenses.  </w:t>
      </w:r>
      <w:r w:rsidR="00B3121B">
        <w:t>Since then t</w:t>
      </w:r>
      <w:r w:rsidR="00824DFB">
        <w:t xml:space="preserve">he number of licenses issued </w:t>
      </w:r>
      <w:r w:rsidR="00B3121B">
        <w:t xml:space="preserve">has steadily </w:t>
      </w:r>
      <w:r w:rsidR="00824DFB">
        <w:t>increased</w:t>
      </w:r>
      <w:r w:rsidR="00B3121B">
        <w:t xml:space="preserve"> to 175 in 2007, with </w:t>
      </w:r>
      <w:r w:rsidR="00362054">
        <w:t>179</w:t>
      </w:r>
      <w:r w:rsidR="00B3121B">
        <w:t xml:space="preserve"> licenses issued</w:t>
      </w:r>
      <w:r w:rsidR="00362054">
        <w:t xml:space="preserve"> in 2012</w:t>
      </w:r>
      <w:r w:rsidR="00261415">
        <w:t xml:space="preserve"> </w:t>
      </w:r>
      <w:r w:rsidRPr="00146E08">
        <w:t xml:space="preserve">(Figure </w:t>
      </w:r>
      <w:r w:rsidR="00362054">
        <w:t>1</w:t>
      </w:r>
      <w:r w:rsidRPr="00146E08">
        <w:t xml:space="preserve">).  Approximately 29,000 pounds of turtles were reported taken in 1987 whereas in recent years harvest has met or exceeded 200,000 pounds (Figure </w:t>
      </w:r>
      <w:r w:rsidR="00906760">
        <w:t>2</w:t>
      </w:r>
      <w:r w:rsidRPr="00146E08">
        <w:t>).  In general the number of harvesters and the numbers of turtles trapped has increased throughout the program’s history.</w:t>
      </w:r>
    </w:p>
    <w:p w:rsidR="00D61BEB" w:rsidRDefault="00D61BEB" w:rsidP="00D61BEB">
      <w:pPr>
        <w:jc w:val="center"/>
        <w:rPr>
          <w:b/>
          <w:sz w:val="20"/>
          <w:szCs w:val="20"/>
        </w:rPr>
      </w:pPr>
      <w:r w:rsidRPr="00D61BEB">
        <w:rPr>
          <w:noProof/>
        </w:rPr>
        <w:lastRenderedPageBreak/>
        <w:drawing>
          <wp:inline distT="0" distB="0" distL="0" distR="0">
            <wp:extent cx="4054475" cy="3027680"/>
            <wp:effectExtent l="1905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54475" cy="3027680"/>
                    </a:xfrm>
                    <a:prstGeom prst="rect">
                      <a:avLst/>
                    </a:prstGeom>
                    <a:noFill/>
                    <a:ln w="9525">
                      <a:noFill/>
                      <a:miter lim="800000"/>
                      <a:headEnd/>
                      <a:tailEnd/>
                    </a:ln>
                  </pic:spPr>
                </pic:pic>
              </a:graphicData>
            </a:graphic>
          </wp:inline>
        </w:drawing>
      </w:r>
    </w:p>
    <w:p w:rsidR="00F16028" w:rsidRPr="00363348" w:rsidRDefault="003640CA" w:rsidP="00D61BEB">
      <w:pPr>
        <w:rPr>
          <w:sz w:val="20"/>
          <w:szCs w:val="20"/>
        </w:rPr>
      </w:pPr>
      <w:proofErr w:type="gramStart"/>
      <w:r w:rsidRPr="007C6D04">
        <w:rPr>
          <w:b/>
          <w:sz w:val="20"/>
          <w:szCs w:val="20"/>
        </w:rPr>
        <w:t xml:space="preserve">Figure </w:t>
      </w:r>
      <w:r w:rsidR="00905709" w:rsidRPr="007C6D04">
        <w:rPr>
          <w:b/>
          <w:sz w:val="20"/>
          <w:szCs w:val="20"/>
        </w:rPr>
        <w:t>1</w:t>
      </w:r>
      <w:r w:rsidRPr="007C6D04">
        <w:rPr>
          <w:b/>
          <w:sz w:val="20"/>
          <w:szCs w:val="20"/>
        </w:rPr>
        <w:t>.</w:t>
      </w:r>
      <w:proofErr w:type="gramEnd"/>
      <w:r w:rsidRPr="00363348">
        <w:rPr>
          <w:sz w:val="20"/>
          <w:szCs w:val="20"/>
        </w:rPr>
        <w:t xml:space="preserve">  Total number of commercial turtle h</w:t>
      </w:r>
      <w:r w:rsidR="00C128FB">
        <w:rPr>
          <w:sz w:val="20"/>
          <w:szCs w:val="20"/>
        </w:rPr>
        <w:t>arvesters in Iowa from 1987-2012</w:t>
      </w:r>
      <w:r w:rsidRPr="00363348">
        <w:rPr>
          <w:sz w:val="20"/>
          <w:szCs w:val="20"/>
        </w:rPr>
        <w:t>.</w:t>
      </w:r>
    </w:p>
    <w:p w:rsidR="003640CA" w:rsidRPr="00146E08" w:rsidRDefault="00FD7FD4" w:rsidP="00AB34D0">
      <w:pPr>
        <w:jc w:val="center"/>
      </w:pPr>
      <w:r>
        <w:rPr>
          <w:noProof/>
        </w:rPr>
        <w:drawing>
          <wp:inline distT="0" distB="0" distL="0" distR="0">
            <wp:extent cx="4037330" cy="274320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37330" cy="2743200"/>
                    </a:xfrm>
                    <a:prstGeom prst="rect">
                      <a:avLst/>
                    </a:prstGeom>
                    <a:noFill/>
                    <a:ln w="9525">
                      <a:noFill/>
                      <a:miter lim="800000"/>
                      <a:headEnd/>
                      <a:tailEnd/>
                    </a:ln>
                  </pic:spPr>
                </pic:pic>
              </a:graphicData>
            </a:graphic>
          </wp:inline>
        </w:drawing>
      </w:r>
    </w:p>
    <w:p w:rsidR="00905709" w:rsidRPr="007C6D04" w:rsidRDefault="00905709" w:rsidP="00AB34D0">
      <w:pPr>
        <w:jc w:val="both"/>
        <w:rPr>
          <w:sz w:val="20"/>
          <w:szCs w:val="20"/>
        </w:rPr>
      </w:pPr>
      <w:proofErr w:type="gramStart"/>
      <w:r w:rsidRPr="007C6D04">
        <w:rPr>
          <w:b/>
          <w:sz w:val="20"/>
          <w:szCs w:val="20"/>
        </w:rPr>
        <w:t>Figure 2.</w:t>
      </w:r>
      <w:proofErr w:type="gramEnd"/>
      <w:r w:rsidRPr="007C6D04">
        <w:rPr>
          <w:sz w:val="20"/>
          <w:szCs w:val="20"/>
        </w:rPr>
        <w:t xml:space="preserve">  Commercial harvest (pounds) of all species of turtle by year.</w:t>
      </w:r>
    </w:p>
    <w:p w:rsidR="00A60851" w:rsidRPr="00146E08" w:rsidRDefault="00A60851" w:rsidP="00AB34D0">
      <w:pPr>
        <w:jc w:val="both"/>
      </w:pPr>
      <w:r w:rsidRPr="00146E08">
        <w:t>Commercial snapping turtle harvest has increased steadily since 1987 at an approximate rate of</w:t>
      </w:r>
      <w:r w:rsidR="00265443">
        <w:t xml:space="preserve"> 5,991 pounds per year (Figure 3</w:t>
      </w:r>
      <w:r w:rsidRPr="00146E08">
        <w:t>).  During this period however, harvest per licensee has generally decreased each year from a peak of 1,823 pounds per licensee in 1990 to 910 pound</w:t>
      </w:r>
      <w:r w:rsidR="00265443">
        <w:t>s per licensee in 2010 (Figure 4</w:t>
      </w:r>
      <w:r w:rsidRPr="00146E08">
        <w:t xml:space="preserve">).  </w:t>
      </w:r>
    </w:p>
    <w:p w:rsidR="003640CA" w:rsidRPr="00146E08" w:rsidRDefault="00FD7FD4" w:rsidP="00AB34D0">
      <w:pPr>
        <w:jc w:val="center"/>
      </w:pPr>
      <w:r>
        <w:rPr>
          <w:noProof/>
        </w:rPr>
        <w:lastRenderedPageBreak/>
        <w:drawing>
          <wp:inline distT="0" distB="0" distL="0" distR="0">
            <wp:extent cx="4045585" cy="31572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45585" cy="3157220"/>
                    </a:xfrm>
                    <a:prstGeom prst="rect">
                      <a:avLst/>
                    </a:prstGeom>
                    <a:noFill/>
                    <a:ln w="9525">
                      <a:noFill/>
                      <a:miter lim="800000"/>
                      <a:headEnd/>
                      <a:tailEnd/>
                    </a:ln>
                  </pic:spPr>
                </pic:pic>
              </a:graphicData>
            </a:graphic>
          </wp:inline>
        </w:drawing>
      </w:r>
    </w:p>
    <w:p w:rsidR="003640CA" w:rsidRPr="00363348" w:rsidRDefault="003640CA" w:rsidP="00AB34D0">
      <w:pPr>
        <w:jc w:val="both"/>
        <w:rPr>
          <w:sz w:val="20"/>
          <w:szCs w:val="20"/>
        </w:rPr>
      </w:pPr>
      <w:proofErr w:type="gramStart"/>
      <w:r w:rsidRPr="007C6D04">
        <w:rPr>
          <w:b/>
          <w:sz w:val="20"/>
          <w:szCs w:val="20"/>
        </w:rPr>
        <w:t xml:space="preserve">Figure </w:t>
      </w:r>
      <w:r w:rsidR="00905709" w:rsidRPr="007C6D04">
        <w:rPr>
          <w:b/>
          <w:sz w:val="20"/>
          <w:szCs w:val="20"/>
        </w:rPr>
        <w:t>3</w:t>
      </w:r>
      <w:r w:rsidRPr="007C6D04">
        <w:rPr>
          <w:b/>
          <w:sz w:val="20"/>
          <w:szCs w:val="20"/>
        </w:rPr>
        <w:t>.</w:t>
      </w:r>
      <w:proofErr w:type="gramEnd"/>
      <w:r w:rsidRPr="00363348">
        <w:rPr>
          <w:sz w:val="20"/>
          <w:szCs w:val="20"/>
        </w:rPr>
        <w:t xml:space="preserve">  Total commercial harvest (pounds) of common snapping turtle reported by licensed turtle h</w:t>
      </w:r>
      <w:r w:rsidR="00265443">
        <w:rPr>
          <w:sz w:val="20"/>
          <w:szCs w:val="20"/>
        </w:rPr>
        <w:t>arvesters in Iowa from 1987-2012</w:t>
      </w:r>
      <w:r w:rsidRPr="00363348">
        <w:rPr>
          <w:sz w:val="20"/>
          <w:szCs w:val="20"/>
        </w:rPr>
        <w:t>.</w:t>
      </w:r>
    </w:p>
    <w:p w:rsidR="003640CA" w:rsidRPr="00146E08" w:rsidRDefault="00FD7FD4" w:rsidP="00AB34D0">
      <w:pPr>
        <w:jc w:val="center"/>
      </w:pPr>
      <w:r>
        <w:rPr>
          <w:noProof/>
        </w:rPr>
        <w:drawing>
          <wp:inline distT="0" distB="0" distL="0" distR="0">
            <wp:extent cx="4054475" cy="291592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54475" cy="2915920"/>
                    </a:xfrm>
                    <a:prstGeom prst="rect">
                      <a:avLst/>
                    </a:prstGeom>
                    <a:noFill/>
                    <a:ln w="9525">
                      <a:noFill/>
                      <a:miter lim="800000"/>
                      <a:headEnd/>
                      <a:tailEnd/>
                    </a:ln>
                  </pic:spPr>
                </pic:pic>
              </a:graphicData>
            </a:graphic>
          </wp:inline>
        </w:drawing>
      </w:r>
    </w:p>
    <w:p w:rsidR="003640CA" w:rsidRPr="00363348" w:rsidRDefault="003640CA" w:rsidP="00AB34D0">
      <w:pPr>
        <w:jc w:val="both"/>
        <w:rPr>
          <w:sz w:val="20"/>
          <w:szCs w:val="20"/>
        </w:rPr>
      </w:pPr>
      <w:proofErr w:type="gramStart"/>
      <w:r w:rsidRPr="007C6D04">
        <w:rPr>
          <w:b/>
          <w:sz w:val="20"/>
          <w:szCs w:val="20"/>
        </w:rPr>
        <w:t xml:space="preserve">Figure </w:t>
      </w:r>
      <w:r w:rsidR="00265443" w:rsidRPr="007C6D04">
        <w:rPr>
          <w:b/>
          <w:sz w:val="20"/>
          <w:szCs w:val="20"/>
        </w:rPr>
        <w:t>4</w:t>
      </w:r>
      <w:r w:rsidRPr="007C6D04">
        <w:rPr>
          <w:b/>
          <w:sz w:val="20"/>
          <w:szCs w:val="20"/>
        </w:rPr>
        <w:t>.</w:t>
      </w:r>
      <w:proofErr w:type="gramEnd"/>
      <w:r w:rsidRPr="00363348">
        <w:rPr>
          <w:sz w:val="20"/>
          <w:szCs w:val="20"/>
        </w:rPr>
        <w:t xml:space="preserve">  </w:t>
      </w:r>
      <w:proofErr w:type="gramStart"/>
      <w:r w:rsidRPr="00363348">
        <w:rPr>
          <w:sz w:val="20"/>
          <w:szCs w:val="20"/>
        </w:rPr>
        <w:t>Mean reported commercial harvest (pounds) of common snapping turtle per licensed turtle harvester in Iowa fr</w:t>
      </w:r>
      <w:r w:rsidR="00265443">
        <w:rPr>
          <w:sz w:val="20"/>
          <w:szCs w:val="20"/>
        </w:rPr>
        <w:t>om 1987-2012</w:t>
      </w:r>
      <w:r w:rsidRPr="00363348">
        <w:rPr>
          <w:sz w:val="20"/>
          <w:szCs w:val="20"/>
        </w:rPr>
        <w:t>.</w:t>
      </w:r>
      <w:proofErr w:type="gramEnd"/>
    </w:p>
    <w:p w:rsidR="00363348" w:rsidRPr="00146E08" w:rsidRDefault="00363348" w:rsidP="00AB34D0">
      <w:pPr>
        <w:jc w:val="both"/>
      </w:pPr>
      <w:r w:rsidRPr="00146E08">
        <w:t>Total softshell turtle harvest has decreased since it peaked at 46,496 pounds in 2002 and has</w:t>
      </w:r>
      <w:r w:rsidR="00265443">
        <w:t xml:space="preserve"> been declining since (Figure 5</w:t>
      </w:r>
      <w:r w:rsidRPr="00146E08">
        <w:t xml:space="preserve">).  Reported harvest during the 1997 to 2001 time period was around 40,000 pounds but in recent years </w:t>
      </w:r>
      <w:r w:rsidR="00B3121B">
        <w:t>was</w:t>
      </w:r>
      <w:r w:rsidRPr="00146E08">
        <w:t xml:space="preserve"> around 20,000 pounds.   Reported harvest per licensee has continued t</w:t>
      </w:r>
      <w:r w:rsidR="00265443">
        <w:t>o decrease since 1996 (Figure 6</w:t>
      </w:r>
      <w:r w:rsidRPr="00146E08">
        <w:t xml:space="preserve">).  </w:t>
      </w:r>
    </w:p>
    <w:p w:rsidR="00265443" w:rsidRPr="00146E08" w:rsidRDefault="00FD7FD4" w:rsidP="00AB34D0">
      <w:pPr>
        <w:jc w:val="center"/>
      </w:pPr>
      <w:r>
        <w:rPr>
          <w:noProof/>
        </w:rPr>
        <w:lastRenderedPageBreak/>
        <w:drawing>
          <wp:inline distT="0" distB="0" distL="0" distR="0">
            <wp:extent cx="4037330" cy="314833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37330" cy="3148330"/>
                    </a:xfrm>
                    <a:prstGeom prst="rect">
                      <a:avLst/>
                    </a:prstGeom>
                    <a:noFill/>
                    <a:ln w="9525">
                      <a:noFill/>
                      <a:miter lim="800000"/>
                      <a:headEnd/>
                      <a:tailEnd/>
                    </a:ln>
                  </pic:spPr>
                </pic:pic>
              </a:graphicData>
            </a:graphic>
          </wp:inline>
        </w:drawing>
      </w:r>
    </w:p>
    <w:p w:rsidR="003640CA" w:rsidRPr="00363348" w:rsidRDefault="003640CA" w:rsidP="00AB34D0">
      <w:pPr>
        <w:jc w:val="both"/>
        <w:rPr>
          <w:noProof/>
          <w:sz w:val="20"/>
          <w:szCs w:val="20"/>
        </w:rPr>
      </w:pPr>
      <w:proofErr w:type="gramStart"/>
      <w:r w:rsidRPr="007C6D04">
        <w:rPr>
          <w:b/>
          <w:sz w:val="20"/>
          <w:szCs w:val="20"/>
        </w:rPr>
        <w:t xml:space="preserve">Figure </w:t>
      </w:r>
      <w:r w:rsidR="00265443" w:rsidRPr="007C6D04">
        <w:rPr>
          <w:b/>
          <w:sz w:val="20"/>
          <w:szCs w:val="20"/>
        </w:rPr>
        <w:t>5</w:t>
      </w:r>
      <w:r w:rsidRPr="007C6D04">
        <w:rPr>
          <w:b/>
          <w:sz w:val="20"/>
          <w:szCs w:val="20"/>
        </w:rPr>
        <w:t>.</w:t>
      </w:r>
      <w:proofErr w:type="gramEnd"/>
      <w:r w:rsidRPr="00265443">
        <w:rPr>
          <w:sz w:val="20"/>
          <w:szCs w:val="20"/>
        </w:rPr>
        <w:t xml:space="preserve">  </w:t>
      </w:r>
      <w:r w:rsidRPr="00363348">
        <w:rPr>
          <w:sz w:val="20"/>
          <w:szCs w:val="20"/>
        </w:rPr>
        <w:t>Total commercial harvest (pounds) of softshell turtle reported by all licensed turtle h</w:t>
      </w:r>
      <w:r w:rsidR="00265443">
        <w:rPr>
          <w:sz w:val="20"/>
          <w:szCs w:val="20"/>
        </w:rPr>
        <w:t>arvesters in Iowa from 1987-2012</w:t>
      </w:r>
      <w:r w:rsidRPr="00363348">
        <w:rPr>
          <w:sz w:val="20"/>
          <w:szCs w:val="20"/>
        </w:rPr>
        <w:t>.</w:t>
      </w:r>
    </w:p>
    <w:p w:rsidR="003640CA" w:rsidRPr="00146E08" w:rsidRDefault="00FD7FD4" w:rsidP="00AB34D0">
      <w:pPr>
        <w:jc w:val="center"/>
      </w:pPr>
      <w:r>
        <w:rPr>
          <w:noProof/>
        </w:rPr>
        <w:drawing>
          <wp:inline distT="0" distB="0" distL="0" distR="0">
            <wp:extent cx="4062730" cy="29762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062730" cy="2976245"/>
                    </a:xfrm>
                    <a:prstGeom prst="rect">
                      <a:avLst/>
                    </a:prstGeom>
                    <a:noFill/>
                    <a:ln w="9525">
                      <a:noFill/>
                      <a:miter lim="800000"/>
                      <a:headEnd/>
                      <a:tailEnd/>
                    </a:ln>
                  </pic:spPr>
                </pic:pic>
              </a:graphicData>
            </a:graphic>
          </wp:inline>
        </w:drawing>
      </w:r>
    </w:p>
    <w:p w:rsidR="003640CA" w:rsidRPr="00363348" w:rsidRDefault="00265443" w:rsidP="00AB34D0">
      <w:pPr>
        <w:jc w:val="both"/>
        <w:rPr>
          <w:sz w:val="20"/>
          <w:szCs w:val="20"/>
        </w:rPr>
      </w:pPr>
      <w:proofErr w:type="gramStart"/>
      <w:r w:rsidRPr="007C6D04">
        <w:rPr>
          <w:b/>
          <w:sz w:val="20"/>
          <w:szCs w:val="20"/>
        </w:rPr>
        <w:t>Figure 6</w:t>
      </w:r>
      <w:r w:rsidR="003640CA" w:rsidRPr="007C6D04">
        <w:rPr>
          <w:b/>
          <w:sz w:val="20"/>
          <w:szCs w:val="20"/>
        </w:rPr>
        <w:t>.</w:t>
      </w:r>
      <w:proofErr w:type="gramEnd"/>
      <w:r w:rsidR="003640CA" w:rsidRPr="00265443">
        <w:rPr>
          <w:sz w:val="20"/>
          <w:szCs w:val="20"/>
        </w:rPr>
        <w:t xml:space="preserve">  </w:t>
      </w:r>
      <w:proofErr w:type="gramStart"/>
      <w:r w:rsidR="003640CA" w:rsidRPr="00363348">
        <w:rPr>
          <w:sz w:val="20"/>
          <w:szCs w:val="20"/>
        </w:rPr>
        <w:t xml:space="preserve">Mean reported commercial harvest (pounds) of softshell turtle per licensed turtle </w:t>
      </w:r>
      <w:r>
        <w:rPr>
          <w:sz w:val="20"/>
          <w:szCs w:val="20"/>
        </w:rPr>
        <w:t>harvester in Iowa from 1987-2012</w:t>
      </w:r>
      <w:r w:rsidR="003640CA" w:rsidRPr="00363348">
        <w:rPr>
          <w:sz w:val="20"/>
          <w:szCs w:val="20"/>
        </w:rPr>
        <w:t>.</w:t>
      </w:r>
      <w:proofErr w:type="gramEnd"/>
    </w:p>
    <w:p w:rsidR="00101FF8" w:rsidRPr="00146E08" w:rsidRDefault="00101FF8" w:rsidP="00AB34D0">
      <w:pPr>
        <w:jc w:val="both"/>
      </w:pPr>
      <w:r w:rsidRPr="00146E08">
        <w:t>Painted turtle harvest has generally increased from the 1987-1991 period when about 1</w:t>
      </w:r>
      <w:r w:rsidR="004D5357">
        <w:t>,</w:t>
      </w:r>
      <w:r w:rsidRPr="00146E08">
        <w:t>000 turtles were reported, to between 1,500 and 4,500 turtles during</w:t>
      </w:r>
      <w:r w:rsidR="00E920E4">
        <w:t xml:space="preserve"> the 2000-2012</w:t>
      </w:r>
      <w:r w:rsidR="00265443">
        <w:t xml:space="preserve"> period (Figure 7</w:t>
      </w:r>
      <w:r w:rsidRPr="00146E08">
        <w:t>).  Painted turtle harvest per licensee has decreased</w:t>
      </w:r>
      <w:r w:rsidR="00265443">
        <w:t xml:space="preserve"> gradually since 1987 (Figure 8</w:t>
      </w:r>
      <w:r w:rsidRPr="00146E08">
        <w:t xml:space="preserve">).  </w:t>
      </w:r>
    </w:p>
    <w:p w:rsidR="003640CA" w:rsidRPr="00146E08" w:rsidRDefault="00FD7FD4" w:rsidP="00AB34D0">
      <w:pPr>
        <w:jc w:val="center"/>
      </w:pPr>
      <w:r>
        <w:rPr>
          <w:noProof/>
        </w:rPr>
        <w:lastRenderedPageBreak/>
        <w:drawing>
          <wp:inline distT="0" distB="0" distL="0" distR="0">
            <wp:extent cx="4054475" cy="297624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054475" cy="2976245"/>
                    </a:xfrm>
                    <a:prstGeom prst="rect">
                      <a:avLst/>
                    </a:prstGeom>
                    <a:noFill/>
                    <a:ln w="9525">
                      <a:noFill/>
                      <a:miter lim="800000"/>
                      <a:headEnd/>
                      <a:tailEnd/>
                    </a:ln>
                  </pic:spPr>
                </pic:pic>
              </a:graphicData>
            </a:graphic>
          </wp:inline>
        </w:drawing>
      </w:r>
    </w:p>
    <w:p w:rsidR="003640CA" w:rsidRPr="00363348" w:rsidRDefault="00265443" w:rsidP="00AB34D0">
      <w:pPr>
        <w:jc w:val="both"/>
        <w:rPr>
          <w:noProof/>
          <w:sz w:val="20"/>
          <w:szCs w:val="20"/>
        </w:rPr>
      </w:pPr>
      <w:proofErr w:type="gramStart"/>
      <w:r w:rsidRPr="004D5357">
        <w:rPr>
          <w:b/>
          <w:sz w:val="20"/>
          <w:szCs w:val="20"/>
        </w:rPr>
        <w:t>Figure 7</w:t>
      </w:r>
      <w:r w:rsidR="003640CA" w:rsidRPr="004D5357">
        <w:rPr>
          <w:b/>
          <w:sz w:val="20"/>
          <w:szCs w:val="20"/>
        </w:rPr>
        <w:t>.</w:t>
      </w:r>
      <w:proofErr w:type="gramEnd"/>
      <w:r w:rsidR="003640CA" w:rsidRPr="00265443">
        <w:rPr>
          <w:sz w:val="20"/>
          <w:szCs w:val="20"/>
        </w:rPr>
        <w:t xml:space="preserve">  </w:t>
      </w:r>
      <w:r w:rsidR="003640CA" w:rsidRPr="00363348">
        <w:rPr>
          <w:sz w:val="20"/>
          <w:szCs w:val="20"/>
        </w:rPr>
        <w:t>Total commercial harvest (number) of painted turtle reported by licensed turtle harvesters in Iowa from 1987-201</w:t>
      </w:r>
      <w:r>
        <w:rPr>
          <w:sz w:val="20"/>
          <w:szCs w:val="20"/>
        </w:rPr>
        <w:t>2</w:t>
      </w:r>
      <w:r w:rsidR="003640CA" w:rsidRPr="00363348">
        <w:rPr>
          <w:sz w:val="20"/>
          <w:szCs w:val="20"/>
        </w:rPr>
        <w:t>.</w:t>
      </w:r>
    </w:p>
    <w:p w:rsidR="003640CA" w:rsidRPr="00146E08" w:rsidRDefault="00FD7FD4" w:rsidP="00AB34D0">
      <w:pPr>
        <w:jc w:val="center"/>
      </w:pPr>
      <w:r>
        <w:rPr>
          <w:noProof/>
        </w:rPr>
        <w:drawing>
          <wp:inline distT="0" distB="0" distL="0" distR="0">
            <wp:extent cx="4037330" cy="2880995"/>
            <wp:effectExtent l="1905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037330" cy="2880995"/>
                    </a:xfrm>
                    <a:prstGeom prst="rect">
                      <a:avLst/>
                    </a:prstGeom>
                    <a:noFill/>
                    <a:ln w="9525">
                      <a:noFill/>
                      <a:miter lim="800000"/>
                      <a:headEnd/>
                      <a:tailEnd/>
                    </a:ln>
                  </pic:spPr>
                </pic:pic>
              </a:graphicData>
            </a:graphic>
          </wp:inline>
        </w:drawing>
      </w:r>
    </w:p>
    <w:p w:rsidR="003640CA" w:rsidRPr="00363348" w:rsidRDefault="00265443" w:rsidP="00AB34D0">
      <w:pPr>
        <w:jc w:val="both"/>
        <w:rPr>
          <w:sz w:val="20"/>
          <w:szCs w:val="20"/>
        </w:rPr>
      </w:pPr>
      <w:proofErr w:type="gramStart"/>
      <w:r w:rsidRPr="004D5357">
        <w:rPr>
          <w:b/>
          <w:sz w:val="20"/>
          <w:szCs w:val="20"/>
        </w:rPr>
        <w:t>Figure 8</w:t>
      </w:r>
      <w:r w:rsidR="003640CA" w:rsidRPr="004D5357">
        <w:rPr>
          <w:b/>
          <w:sz w:val="20"/>
          <w:szCs w:val="20"/>
        </w:rPr>
        <w:t>.</w:t>
      </w:r>
      <w:proofErr w:type="gramEnd"/>
      <w:r w:rsidR="003640CA" w:rsidRPr="00265443">
        <w:rPr>
          <w:sz w:val="20"/>
          <w:szCs w:val="20"/>
        </w:rPr>
        <w:t xml:space="preserve"> </w:t>
      </w:r>
      <w:r w:rsidR="003640CA" w:rsidRPr="00363348">
        <w:rPr>
          <w:sz w:val="20"/>
          <w:szCs w:val="20"/>
        </w:rPr>
        <w:t xml:space="preserve"> </w:t>
      </w:r>
      <w:proofErr w:type="gramStart"/>
      <w:r w:rsidR="003640CA" w:rsidRPr="00363348">
        <w:rPr>
          <w:sz w:val="20"/>
          <w:szCs w:val="20"/>
        </w:rPr>
        <w:t>Mean reported commercial harvest (number) of painted turtle per licensed turtle harvester in Iowa from 1987-201</w:t>
      </w:r>
      <w:r>
        <w:rPr>
          <w:sz w:val="20"/>
          <w:szCs w:val="20"/>
        </w:rPr>
        <w:t>2</w:t>
      </w:r>
      <w:r w:rsidR="003640CA" w:rsidRPr="00363348">
        <w:rPr>
          <w:sz w:val="20"/>
          <w:szCs w:val="20"/>
        </w:rPr>
        <w:t>.</w:t>
      </w:r>
      <w:proofErr w:type="gramEnd"/>
    </w:p>
    <w:p w:rsidR="00B703C2" w:rsidRPr="002357A1" w:rsidRDefault="00B703C2" w:rsidP="00AB34D0">
      <w:pPr>
        <w:jc w:val="both"/>
        <w:rPr>
          <w:b/>
          <w:sz w:val="24"/>
          <w:szCs w:val="24"/>
        </w:rPr>
      </w:pPr>
    </w:p>
    <w:p w:rsidR="003640CA" w:rsidRPr="00146E08" w:rsidRDefault="003640CA" w:rsidP="00AB34D0">
      <w:pPr>
        <w:jc w:val="both"/>
        <w:rPr>
          <w:b/>
          <w:sz w:val="28"/>
          <w:szCs w:val="28"/>
        </w:rPr>
      </w:pPr>
      <w:r w:rsidRPr="00146E08">
        <w:rPr>
          <w:b/>
          <w:sz w:val="28"/>
          <w:szCs w:val="28"/>
        </w:rPr>
        <w:t>Concerns</w:t>
      </w:r>
    </w:p>
    <w:p w:rsidR="00FB4293" w:rsidRPr="00146E08" w:rsidRDefault="00FB4293" w:rsidP="00AB34D0">
      <w:pPr>
        <w:jc w:val="both"/>
        <w:rPr>
          <w:b/>
          <w:i/>
        </w:rPr>
      </w:pPr>
      <w:r w:rsidRPr="00146E08">
        <w:rPr>
          <w:b/>
          <w:i/>
        </w:rPr>
        <w:t xml:space="preserve">Demand for </w:t>
      </w:r>
      <w:r w:rsidR="00E04712">
        <w:rPr>
          <w:b/>
          <w:i/>
        </w:rPr>
        <w:t xml:space="preserve">wild caught </w:t>
      </w:r>
      <w:r w:rsidRPr="00146E08">
        <w:rPr>
          <w:b/>
          <w:i/>
        </w:rPr>
        <w:t xml:space="preserve">turtles is increasing and </w:t>
      </w:r>
      <w:r w:rsidR="00E04712">
        <w:rPr>
          <w:b/>
          <w:i/>
        </w:rPr>
        <w:t xml:space="preserve">there are </w:t>
      </w:r>
      <w:r w:rsidRPr="00146E08">
        <w:rPr>
          <w:b/>
          <w:i/>
        </w:rPr>
        <w:t>fewer US sources.</w:t>
      </w:r>
    </w:p>
    <w:p w:rsidR="007622BE" w:rsidRDefault="00836D92" w:rsidP="00AB34D0">
      <w:pPr>
        <w:jc w:val="both"/>
      </w:pPr>
      <w:r w:rsidRPr="00836D92">
        <w:lastRenderedPageBreak/>
        <w:t xml:space="preserve">Overseas markets, </w:t>
      </w:r>
      <w:r>
        <w:t>U</w:t>
      </w:r>
      <w:r w:rsidR="0091760C">
        <w:t>.</w:t>
      </w:r>
      <w:r>
        <w:t>S</w:t>
      </w:r>
      <w:r w:rsidR="0091760C">
        <w:t>.</w:t>
      </w:r>
      <w:r w:rsidRPr="00836D92">
        <w:t xml:space="preserve"> </w:t>
      </w:r>
      <w:r w:rsidR="0091760C">
        <w:t>international</w:t>
      </w:r>
      <w:r w:rsidR="001944EE">
        <w:t xml:space="preserve"> </w:t>
      </w:r>
      <w:r w:rsidRPr="00836D92">
        <w:t xml:space="preserve">markets and pet trade are driving demand for U.S. turtles (Brown et al 2011). </w:t>
      </w:r>
      <w:r>
        <w:t xml:space="preserve"> </w:t>
      </w:r>
      <w:r w:rsidRPr="00836D92">
        <w:t xml:space="preserve">Iowa’s </w:t>
      </w:r>
      <w:r>
        <w:t xml:space="preserve">relatively </w:t>
      </w:r>
      <w:r w:rsidRPr="00836D92">
        <w:t xml:space="preserve">liberal regulations (as compared to neighboring states) allow virtually unrestricted harvest to meet this demand.  </w:t>
      </w:r>
      <w:r w:rsidR="00146E08" w:rsidRPr="00146E08">
        <w:t xml:space="preserve">Since 1987, Iowa has experienced a nearly </w:t>
      </w:r>
      <w:r w:rsidR="00B3121B">
        <w:t>seven</w:t>
      </w:r>
      <w:r w:rsidR="00146E08" w:rsidRPr="00146E08">
        <w:t xml:space="preserve">-fold increase in the commercial </w:t>
      </w:r>
      <w:r w:rsidR="001D606E">
        <w:t xml:space="preserve">turtle </w:t>
      </w:r>
      <w:r w:rsidR="00146E08" w:rsidRPr="00146E08">
        <w:t>harvest</w:t>
      </w:r>
      <w:r w:rsidR="003D18C9">
        <w:t xml:space="preserve"> (Osterkamp and Hanson 2012)</w:t>
      </w:r>
      <w:r w:rsidR="00146E08" w:rsidRPr="00146E08">
        <w:t xml:space="preserve">.  </w:t>
      </w:r>
      <w:r w:rsidR="00FB4293" w:rsidRPr="00146E08">
        <w:t xml:space="preserve">The market for turtle meat has </w:t>
      </w:r>
      <w:r w:rsidR="00BF540D">
        <w:t>exponentially increas</w:t>
      </w:r>
      <w:r w:rsidR="00FB4293" w:rsidRPr="00146E08">
        <w:t>ed over the last several years, both inside the United States and abroad (</w:t>
      </w:r>
      <w:proofErr w:type="spellStart"/>
      <w:r w:rsidR="00FB4293" w:rsidRPr="00146E08">
        <w:t>Hylton</w:t>
      </w:r>
      <w:proofErr w:type="spellEnd"/>
      <w:r w:rsidR="00FB4293" w:rsidRPr="00146E08">
        <w:t xml:space="preserve"> 2007).  In 20</w:t>
      </w:r>
      <w:r w:rsidR="00F8613F">
        <w:t>12</w:t>
      </w:r>
      <w:r w:rsidR="00FB4293" w:rsidRPr="00146E08">
        <w:t xml:space="preserve">, over </w:t>
      </w:r>
      <w:r w:rsidR="00F8613F">
        <w:t>8</w:t>
      </w:r>
      <w:r w:rsidR="00FB4293" w:rsidRPr="00146E08">
        <w:t xml:space="preserve"> million turtles were exported from the United States, primarily to Asian markets </w:t>
      </w:r>
      <w:r w:rsidR="00FB4293" w:rsidRPr="007613DF">
        <w:t>(</w:t>
      </w:r>
      <w:r w:rsidR="00F8613F" w:rsidRPr="007613DF">
        <w:t>USFWS</w:t>
      </w:r>
      <w:r w:rsidR="007613DF">
        <w:t>, Office of Law Enforcement unpublished data</w:t>
      </w:r>
      <w:r w:rsidR="00FB4293" w:rsidRPr="007613DF">
        <w:t>).</w:t>
      </w:r>
      <w:r w:rsidR="00FB4293" w:rsidRPr="00146E08">
        <w:t xml:space="preserve">  China is now the largest importer of freshwater turtles </w:t>
      </w:r>
      <w:r w:rsidR="00FB4293" w:rsidRPr="007613DF">
        <w:t>(</w:t>
      </w:r>
      <w:r w:rsidR="00F8613F" w:rsidRPr="007613DF">
        <w:t>USFWS</w:t>
      </w:r>
      <w:r w:rsidR="007613DF">
        <w:t>, Office of Law Enforcement unpublished data</w:t>
      </w:r>
      <w:r w:rsidR="00FB4293" w:rsidRPr="007613DF">
        <w:t>)</w:t>
      </w:r>
      <w:r w:rsidR="00FB4293" w:rsidRPr="00146E08">
        <w:t xml:space="preserve"> for consumption and supplying broodstock for an increasing </w:t>
      </w:r>
      <w:r w:rsidR="001D606E">
        <w:t>turtle farming industry</w:t>
      </w:r>
      <w:r w:rsidR="00FB4293" w:rsidRPr="00146E08">
        <w:t xml:space="preserve">.  Shi et al. (2007) reported over 1,000 turtle farms in operation </w:t>
      </w:r>
      <w:r w:rsidR="001D606E">
        <w:t xml:space="preserve">with an estimated value of </w:t>
      </w:r>
      <w:r w:rsidR="00FB4293" w:rsidRPr="00146E08">
        <w:t xml:space="preserve">more than $1 billion USD.  These farms are expected to increase demand for wild caught turtles to sustain reproductive output </w:t>
      </w:r>
      <w:r w:rsidR="00FB4293" w:rsidRPr="00F8613F">
        <w:t>(</w:t>
      </w:r>
      <w:r w:rsidR="00F8613F" w:rsidRPr="00F8613F">
        <w:t>Shi et al. 2007</w:t>
      </w:r>
      <w:r w:rsidR="00FB4293" w:rsidRPr="00F8613F">
        <w:t>),</w:t>
      </w:r>
      <w:r w:rsidR="00FB4293" w:rsidRPr="00146E08">
        <w:t xml:space="preserve"> since successive generations of turtles tend to have a more limited reproductive capacity (Cain 2010).  While many turtles in Asian markets today are farmed, commercial harvest of wild turtles occurs legally in </w:t>
      </w:r>
      <w:r w:rsidR="00BF540D">
        <w:t>several</w:t>
      </w:r>
      <w:r w:rsidR="00FB4293" w:rsidRPr="00146E08">
        <w:t xml:space="preserve"> U</w:t>
      </w:r>
      <w:r w:rsidR="003B1449">
        <w:t>.</w:t>
      </w:r>
      <w:r w:rsidR="00FB4293" w:rsidRPr="00146E08">
        <w:t>S</w:t>
      </w:r>
      <w:r w:rsidR="003B1449">
        <w:t>.</w:t>
      </w:r>
      <w:r w:rsidR="00FB4293" w:rsidRPr="00146E08">
        <w:t xml:space="preserve"> states, which also contributes to these markets (</w:t>
      </w:r>
      <w:proofErr w:type="spellStart"/>
      <w:r w:rsidR="00FB4293" w:rsidRPr="00146E08">
        <w:t>Nanjappa</w:t>
      </w:r>
      <w:proofErr w:type="spellEnd"/>
      <w:r w:rsidR="00FB4293" w:rsidRPr="00146E08">
        <w:t xml:space="preserve"> and Conrad 2010).  </w:t>
      </w:r>
      <w:r w:rsidR="001D606E">
        <w:t>It is likely that most turtles harvested in Iowa are ultimately shipped overse</w:t>
      </w:r>
      <w:r w:rsidR="00BF540D">
        <w:t>a</w:t>
      </w:r>
      <w:r w:rsidR="001D606E">
        <w:t>s</w:t>
      </w:r>
      <w:r w:rsidR="007622BE">
        <w:t xml:space="preserve"> as overseas markets are driving the demand for U.S. turtles</w:t>
      </w:r>
      <w:r w:rsidR="001D606E">
        <w:t xml:space="preserve"> (</w:t>
      </w:r>
      <w:r w:rsidR="007622BE">
        <w:t>Brown et al. 2011</w:t>
      </w:r>
      <w:r w:rsidR="001D606E">
        <w:t>).</w:t>
      </w:r>
    </w:p>
    <w:p w:rsidR="00177BA4" w:rsidRDefault="00FB4293" w:rsidP="00AB34D0">
      <w:pPr>
        <w:jc w:val="both"/>
      </w:pPr>
      <w:r w:rsidRPr="00146E08">
        <w:t xml:space="preserve">A potential compounding factor in the increased harvest of Iowa’s turtles is the </w:t>
      </w:r>
      <w:r w:rsidR="00177BA4">
        <w:t xml:space="preserve">relatively strict </w:t>
      </w:r>
      <w:r w:rsidRPr="00146E08">
        <w:t xml:space="preserve">restrictions on commercial harvest </w:t>
      </w:r>
      <w:r w:rsidR="00177BA4">
        <w:t>in surrounding states</w:t>
      </w:r>
      <w:r w:rsidRPr="00146E08">
        <w:t>.</w:t>
      </w:r>
      <w:r w:rsidR="00101FF8">
        <w:t xml:space="preserve">  </w:t>
      </w:r>
      <w:r w:rsidR="005F6058" w:rsidRPr="005F6058">
        <w:t xml:space="preserve"> </w:t>
      </w:r>
      <w:r w:rsidR="005F6058" w:rsidRPr="00101FF8">
        <w:t xml:space="preserve">Commercial turtle harvest in </w:t>
      </w:r>
      <w:r w:rsidR="00177BA4">
        <w:t xml:space="preserve">most </w:t>
      </w:r>
      <w:r w:rsidR="005F6058" w:rsidRPr="00101FF8">
        <w:t xml:space="preserve">surrounding states is </w:t>
      </w:r>
      <w:r w:rsidR="00177BA4">
        <w:t>prohibited</w:t>
      </w:r>
      <w:r w:rsidR="005F6058" w:rsidRPr="00101FF8">
        <w:t xml:space="preserve"> or allowed under more re</w:t>
      </w:r>
      <w:r w:rsidR="00177BA4">
        <w:t>strictive regulations than Iowa</w:t>
      </w:r>
      <w:r w:rsidR="005F6058" w:rsidRPr="00101FF8">
        <w:t>.</w:t>
      </w:r>
      <w:r w:rsidR="00177BA4">
        <w:t xml:space="preserve">  </w:t>
      </w:r>
      <w:r w:rsidR="005F6058">
        <w:t xml:space="preserve">Illinois, Nebraska, and South Dakota are closed to commercial turtle harvest.  Commercial turtle harvest is currently allowed in </w:t>
      </w:r>
      <w:r w:rsidR="00BF540D">
        <w:t>Minnesota</w:t>
      </w:r>
      <w:r w:rsidR="005F6058">
        <w:t xml:space="preserve"> but they </w:t>
      </w:r>
      <w:r w:rsidR="00BF540D">
        <w:t>enacted provisions in 2002 (Statute 97C.605) specifying that except for renewals, no new turtle licenses could be issued and that a turtle license could be transferred only once to a child of the person holding the license (</w:t>
      </w:r>
      <w:r w:rsidR="00177BA4">
        <w:t xml:space="preserve">i.e., commercial turtle harvest will eventually be “phased out” as these harvesters and their children retire; </w:t>
      </w:r>
      <w:proofErr w:type="spellStart"/>
      <w:r w:rsidR="00BF540D">
        <w:t>Nanjappa</w:t>
      </w:r>
      <w:proofErr w:type="spellEnd"/>
      <w:r w:rsidR="00BF540D">
        <w:t xml:space="preserve"> and Conrad 2011).  </w:t>
      </w:r>
    </w:p>
    <w:p w:rsidR="00101FF8" w:rsidRPr="00101FF8" w:rsidRDefault="00101FF8" w:rsidP="00AB34D0">
      <w:pPr>
        <w:jc w:val="both"/>
        <w:rPr>
          <w:b/>
          <w:i/>
        </w:rPr>
      </w:pPr>
      <w:r w:rsidRPr="00101FF8">
        <w:rPr>
          <w:b/>
          <w:i/>
        </w:rPr>
        <w:t xml:space="preserve">Turtle harvest </w:t>
      </w:r>
      <w:r w:rsidR="00E04712">
        <w:rPr>
          <w:b/>
          <w:i/>
        </w:rPr>
        <w:t>trends are alarming</w:t>
      </w:r>
      <w:r w:rsidRPr="00101FF8">
        <w:rPr>
          <w:b/>
          <w:i/>
        </w:rPr>
        <w:t>.</w:t>
      </w:r>
    </w:p>
    <w:p w:rsidR="00836D92" w:rsidRDefault="00836D92" w:rsidP="00AB34D0">
      <w:pPr>
        <w:jc w:val="both"/>
      </w:pPr>
      <w:r w:rsidRPr="00836D92">
        <w:t xml:space="preserve">Long term trends show an overall increase in </w:t>
      </w:r>
      <w:r>
        <w:t xml:space="preserve">common </w:t>
      </w:r>
      <w:r w:rsidRPr="00836D92">
        <w:t>snapping turtle harvest since 1987</w:t>
      </w:r>
      <w:r w:rsidR="00961ADA">
        <w:t>.</w:t>
      </w:r>
      <w:r w:rsidRPr="00836D92">
        <w:t xml:space="preserve">  Simultaneously, harvest per </w:t>
      </w:r>
      <w:r>
        <w:t>trapper</w:t>
      </w:r>
      <w:r w:rsidRPr="00836D92">
        <w:t xml:space="preserve"> has gradually decreased.  This decrease is slight (&lt;10 pounds per year per </w:t>
      </w:r>
      <w:r>
        <w:t>trapper</w:t>
      </w:r>
      <w:r w:rsidRPr="00836D92">
        <w:t xml:space="preserve">) so it is unlikely that individual harvesters have noticed that their annual catch is gradually decreasing over time.  From a sustainable management standpoint, these trends are alarming.  </w:t>
      </w:r>
    </w:p>
    <w:p w:rsidR="00836D92" w:rsidRPr="00DC77CB" w:rsidRDefault="00836D92" w:rsidP="00AB34D0">
      <w:pPr>
        <w:jc w:val="both"/>
      </w:pPr>
      <w:r>
        <w:t>S</w:t>
      </w:r>
      <w:r w:rsidRPr="00836D92">
        <w:t>oftshell turtle harvest increased rapidl</w:t>
      </w:r>
      <w:r w:rsidR="00AC4DDA">
        <w:t>y from 1987 through 2001 and had</w:t>
      </w:r>
      <w:r w:rsidRPr="00836D92">
        <w:t xml:space="preserve"> decreas</w:t>
      </w:r>
      <w:r w:rsidR="007613DF">
        <w:t>ed</w:t>
      </w:r>
      <w:r w:rsidRPr="00836D92">
        <w:t xml:space="preserve"> steadily </w:t>
      </w:r>
      <w:r w:rsidR="007613DF">
        <w:t>from 2002 through 2010</w:t>
      </w:r>
      <w:r w:rsidR="00AC4DDA">
        <w:t xml:space="preserve"> until the last two years</w:t>
      </w:r>
      <w:r w:rsidRPr="00836D92">
        <w:t xml:space="preserve">.  Sharp increases, followed by downward harvest trends for a commercially valuable species </w:t>
      </w:r>
      <w:r w:rsidR="00961ADA">
        <w:t>are</w:t>
      </w:r>
      <w:r w:rsidR="00A60EB5">
        <w:t xml:space="preserve"> </w:t>
      </w:r>
      <w:r w:rsidR="00666A7E">
        <w:t>concerning when the downward trend includes over 8 years of data</w:t>
      </w:r>
      <w:r w:rsidRPr="00666A7E">
        <w:t>.</w:t>
      </w:r>
      <w:r w:rsidR="00666A7E">
        <w:t xml:space="preserve">  </w:t>
      </w:r>
      <w:r w:rsidR="00666A7E" w:rsidRPr="00DC77CB">
        <w:t>Decreases such as this are concerning when harvest removes the reproductively viable adults which causes a reduction in reproductive ability and thus sustainability (</w:t>
      </w:r>
      <w:proofErr w:type="spellStart"/>
      <w:r w:rsidR="00666A7E" w:rsidRPr="00DC77CB">
        <w:t>Beverton</w:t>
      </w:r>
      <w:proofErr w:type="spellEnd"/>
      <w:r w:rsidR="00666A7E" w:rsidRPr="00DC77CB">
        <w:t xml:space="preserve"> and Holt 1957, Ricker 1975, Quinn and </w:t>
      </w:r>
      <w:proofErr w:type="spellStart"/>
      <w:r w:rsidR="00666A7E" w:rsidRPr="00DC77CB">
        <w:t>Deriso</w:t>
      </w:r>
      <w:proofErr w:type="spellEnd"/>
      <w:r w:rsidR="00666A7E" w:rsidRPr="00DC77CB">
        <w:t xml:space="preserve"> 1999). </w:t>
      </w:r>
    </w:p>
    <w:p w:rsidR="003118DE" w:rsidRPr="00DC77CB" w:rsidRDefault="003118DE" w:rsidP="00AB34D0">
      <w:pPr>
        <w:spacing w:line="240" w:lineRule="auto"/>
        <w:jc w:val="both"/>
        <w:rPr>
          <w:b/>
          <w:i/>
        </w:rPr>
      </w:pPr>
      <w:r w:rsidRPr="00DC77CB">
        <w:rPr>
          <w:b/>
          <w:i/>
        </w:rPr>
        <w:t xml:space="preserve">Major threats to Iowa’s turtle populations continue. </w:t>
      </w:r>
    </w:p>
    <w:p w:rsidR="003118DE" w:rsidRPr="00DC77CB" w:rsidRDefault="003118DE" w:rsidP="00AB34D0">
      <w:pPr>
        <w:spacing w:line="240" w:lineRule="auto"/>
        <w:jc w:val="both"/>
      </w:pPr>
      <w:r w:rsidRPr="00DC77CB">
        <w:t>Today less than 5% of Iowa’s wetland acres remain from pre-settlement and 6</w:t>
      </w:r>
      <w:r w:rsidR="00774450" w:rsidRPr="00DC77CB">
        <w:t>9</w:t>
      </w:r>
      <w:r w:rsidRPr="00DC77CB">
        <w:t>% of Iowa’s landscape was in active row crop product</w:t>
      </w:r>
      <w:r w:rsidR="00774450" w:rsidRPr="00DC77CB">
        <w:t>ion or urban development in 2007</w:t>
      </w:r>
      <w:r w:rsidRPr="00DC77CB">
        <w:t xml:space="preserve"> (</w:t>
      </w:r>
      <w:r w:rsidR="005E72C4" w:rsidRPr="00DC77CB">
        <w:t>USDA 2013</w:t>
      </w:r>
      <w:r w:rsidRPr="00DC77CB">
        <w:t xml:space="preserve">).  Iowa’s Wildlife Action </w:t>
      </w:r>
      <w:r w:rsidRPr="00DC77CB">
        <w:lastRenderedPageBreak/>
        <w:t>Plan lists “Habitat Conversion to Row Crop”, “Wetland Drainage”, “Habitat Fragmentation”, “Absence of Habitat”, “Conversion to Residential”, and “Loss of Connectivity” all as categories of high stress for reptiles in general</w:t>
      </w:r>
      <w:r w:rsidR="00774450" w:rsidRPr="00DC77CB">
        <w:t xml:space="preserve"> (</w:t>
      </w:r>
      <w:proofErr w:type="spellStart"/>
      <w:r w:rsidR="00774450" w:rsidRPr="00DC77CB">
        <w:t>Zohrer</w:t>
      </w:r>
      <w:proofErr w:type="spellEnd"/>
      <w:r w:rsidR="00774450" w:rsidRPr="00DC77CB">
        <w:t xml:space="preserve"> 2006)</w:t>
      </w:r>
      <w:r w:rsidRPr="00DC77CB">
        <w:t xml:space="preserve">.  </w:t>
      </w:r>
      <w:r w:rsidR="00961ADA" w:rsidRPr="00DC77CB">
        <w:t xml:space="preserve">Loss of habitat due to the draining of marshes and wetlands, sedimentation of backwaters, channelization of rivers and streams, and loss of ephemeral ponds can negatively impact turtle populations.  Turtles are semi-aquatic and require </w:t>
      </w:r>
      <w:r w:rsidR="00E04468" w:rsidRPr="00DC77CB">
        <w:t>both wetland and upland</w:t>
      </w:r>
      <w:r w:rsidR="00961ADA" w:rsidRPr="00DC77CB">
        <w:t xml:space="preserve"> habitats in order to meet their life history requirements and, less available habitat means less turtles.  Habitat destruction can also force turtles to utilize less suitable habitat making them more susceptible to predation.  </w:t>
      </w:r>
    </w:p>
    <w:p w:rsidR="005E0987" w:rsidRPr="00DC77CB" w:rsidRDefault="005E0987" w:rsidP="005E0987">
      <w:pPr>
        <w:spacing w:line="240" w:lineRule="auto"/>
        <w:jc w:val="both"/>
      </w:pPr>
      <w:r w:rsidRPr="00DC77CB">
        <w:t>Channelization of rivers and streams changes the natural hydrologic cycles by increasing flow rates, leading to channel incision, and erosion</w:t>
      </w:r>
      <w:r w:rsidR="003B1449" w:rsidRPr="00DC77CB">
        <w:t>.  T</w:t>
      </w:r>
      <w:r w:rsidRPr="00DC77CB">
        <w:t xml:space="preserve">hese disturbances can have adverse effects on turtle populations by eliminating habitat </w:t>
      </w:r>
      <w:r w:rsidR="003B1449" w:rsidRPr="00DC77CB">
        <w:t>thereby</w:t>
      </w:r>
      <w:r w:rsidRPr="00DC77CB">
        <w:t xml:space="preserve"> impacting feeding and nesting conditions.  Rural and urban development can encroach on areas utilized by turtle species.  The worst case scenario is that entire habitats can be destroyed and habitat can be fragmented, isolating populations </w:t>
      </w:r>
      <w:r w:rsidR="003B1449" w:rsidRPr="00DC77CB">
        <w:t>creating</w:t>
      </w:r>
      <w:r w:rsidRPr="00DC77CB">
        <w:t xml:space="preserve"> reduc</w:t>
      </w:r>
      <w:r w:rsidR="003B1449" w:rsidRPr="00DC77CB">
        <w:t>ed</w:t>
      </w:r>
      <w:r w:rsidRPr="00DC77CB">
        <w:t xml:space="preserve"> genetic diversity.  </w:t>
      </w:r>
    </w:p>
    <w:p w:rsidR="003118DE" w:rsidRPr="00DC77CB" w:rsidRDefault="00961ADA" w:rsidP="00AB34D0">
      <w:pPr>
        <w:jc w:val="both"/>
      </w:pPr>
      <w:r w:rsidRPr="00DC77CB">
        <w:t>Mammalian predators excavate and destroy most turtle nests.  For example, nearly 60% of snapping turtle nests were destroyed over the course of two visits by furbearers in a study conducted by Hammer (1969).  N</w:t>
      </w:r>
      <w:r w:rsidR="003118DE" w:rsidRPr="00DC77CB">
        <w:t>est predation rates on a common snapping turtle population in Michigan averaged 70% during a seven-year study, ranging from 100% in two years to 30% in one year (</w:t>
      </w:r>
      <w:proofErr w:type="spellStart"/>
      <w:r w:rsidR="003118DE" w:rsidRPr="00DC77CB">
        <w:t>Congdon</w:t>
      </w:r>
      <w:proofErr w:type="spellEnd"/>
      <w:r w:rsidR="003118DE" w:rsidRPr="00DC77CB">
        <w:t xml:space="preserve"> et al. 1987).  </w:t>
      </w:r>
      <w:r w:rsidRPr="00DC77CB">
        <w:t xml:space="preserve">Similar levels of predation are endured by Iowa turtles.  </w:t>
      </w:r>
      <w:r w:rsidR="003118DE" w:rsidRPr="00DC77CB">
        <w:t>Raccoons, skunks, opossums, minks are all know</w:t>
      </w:r>
      <w:r w:rsidRPr="00DC77CB">
        <w:t>n</w:t>
      </w:r>
      <w:r w:rsidR="003118DE" w:rsidRPr="00DC77CB">
        <w:t xml:space="preserve"> predators on turtle nests.  Even birds such as the American crow have been observed predating on turtle nests (Scott Gritters, Iowa Department of Natural Resources, personal communication). </w:t>
      </w:r>
      <w:r w:rsidR="00FE00C3" w:rsidRPr="00DC77CB">
        <w:t xml:space="preserve">Populations of nest and hatchling predators associated with humans such as domestic dogs, cats, and scavenging raccoons (especially those associated with urban areas) promote higher levels of nest predation to the disadvantage of many turtle species (Ernst and </w:t>
      </w:r>
      <w:proofErr w:type="spellStart"/>
      <w:r w:rsidR="00FE00C3" w:rsidRPr="00DC77CB">
        <w:t>Lovich</w:t>
      </w:r>
      <w:proofErr w:type="spellEnd"/>
      <w:r w:rsidR="00FE00C3" w:rsidRPr="00DC77CB">
        <w:t xml:space="preserve"> 2009).  </w:t>
      </w:r>
      <w:r w:rsidR="005E0987" w:rsidRPr="00DC77CB">
        <w:t>P</w:t>
      </w:r>
      <w:r w:rsidR="003118DE" w:rsidRPr="00DC77CB">
        <w:t>redation on turtle nests is a</w:t>
      </w:r>
      <w:r w:rsidR="00DC6212" w:rsidRPr="00DC77CB">
        <w:t xml:space="preserve"> natural stressor on turtle populations</w:t>
      </w:r>
      <w:r w:rsidR="003118DE" w:rsidRPr="00DC77CB">
        <w:t xml:space="preserve"> </w:t>
      </w:r>
      <w:r w:rsidR="00DC6212" w:rsidRPr="00DC77CB">
        <w:t xml:space="preserve">that is magnified </w:t>
      </w:r>
      <w:r w:rsidR="001157D7" w:rsidRPr="00DC77CB">
        <w:t xml:space="preserve">when </w:t>
      </w:r>
      <w:r w:rsidR="003118DE" w:rsidRPr="00DC77CB">
        <w:t xml:space="preserve">nesting habitat is reduced in size and fragmented.   </w:t>
      </w:r>
      <w:r w:rsidR="00EC6A4D" w:rsidRPr="00DC77CB">
        <w:t>N</w:t>
      </w:r>
      <w:r w:rsidR="005E0987" w:rsidRPr="00DC77CB">
        <w:t>est predation</w:t>
      </w:r>
      <w:r w:rsidR="00EC6A4D" w:rsidRPr="00DC77CB">
        <w:t xml:space="preserve"> in Iowa</w:t>
      </w:r>
      <w:r w:rsidR="005E0987" w:rsidRPr="00DC77CB">
        <w:t xml:space="preserve"> </w:t>
      </w:r>
      <w:r w:rsidR="003118DE" w:rsidRPr="00DC77CB">
        <w:t xml:space="preserve">may be un-naturally high because large natural predators of </w:t>
      </w:r>
      <w:proofErr w:type="spellStart"/>
      <w:r w:rsidR="003118DE" w:rsidRPr="00DC77CB">
        <w:t>meso</w:t>
      </w:r>
      <w:proofErr w:type="spellEnd"/>
      <w:r w:rsidR="003118DE" w:rsidRPr="00DC77CB">
        <w:t>-predators have been eliminated.  Both fur trapping and hunting need to remain viable methods to help reduce nest predators such as raccoons and skunks to manageable levels.</w:t>
      </w:r>
    </w:p>
    <w:p w:rsidR="00FD7FD4" w:rsidRPr="00DC77CB" w:rsidRDefault="003118DE" w:rsidP="00057C34">
      <w:pPr>
        <w:jc w:val="both"/>
      </w:pPr>
      <w:r w:rsidRPr="00DC77CB">
        <w:t>The construction of highways and secondary roads increases the likelihood of car-turtle collisions.  Females of all turtle species leave the water and make migrations to suitable nesting areas; often, this involves crossing a roadway.  Turtles can be hit by vehicles causing death or severe injury.  The sex ratio of turtle populations located adjacent to roadways can be skewed to more male as females are the more likely casualty while crossing the road and female turtles on roadways are easily captured by harvesters or collected as pets</w:t>
      </w:r>
      <w:r w:rsidR="00057C34" w:rsidRPr="00DC77CB">
        <w:t xml:space="preserve"> (</w:t>
      </w:r>
      <w:proofErr w:type="spellStart"/>
      <w:r w:rsidR="00057C34" w:rsidRPr="00DC77CB">
        <w:t>Haxton</w:t>
      </w:r>
      <w:proofErr w:type="spellEnd"/>
      <w:r w:rsidR="00057C34" w:rsidRPr="00DC77CB">
        <w:t xml:space="preserve"> 200</w:t>
      </w:r>
      <w:r w:rsidR="00EC6A4D" w:rsidRPr="00DC77CB">
        <w:t>0</w:t>
      </w:r>
      <w:r w:rsidR="00057C34" w:rsidRPr="00DC77CB">
        <w:t>; Steen and Gibbs 2004; Steen et al. 2006)</w:t>
      </w:r>
      <w:r w:rsidRPr="00DC77CB">
        <w:t xml:space="preserve">.  </w:t>
      </w:r>
    </w:p>
    <w:p w:rsidR="005E0987" w:rsidRPr="00DC77CB" w:rsidRDefault="00433C45" w:rsidP="005E0987">
      <w:pPr>
        <w:jc w:val="both"/>
      </w:pPr>
      <w:r w:rsidRPr="00DC77CB">
        <w:t xml:space="preserve">If left unchecked, turtle harvest can be a major threat to turtle populations.  </w:t>
      </w:r>
      <w:r w:rsidR="00C568E3" w:rsidRPr="00DC77CB">
        <w:t>Populations can quickly be overharvested when demand is high</w:t>
      </w:r>
      <w:r w:rsidR="00057C34" w:rsidRPr="00DC77CB">
        <w:t xml:space="preserve"> and harvesters target large, old females</w:t>
      </w:r>
      <w:r w:rsidR="00C568E3" w:rsidRPr="00DC77CB">
        <w:t xml:space="preserve">.  Even if harvesters remove only the adults, leaving behind some </w:t>
      </w:r>
      <w:r w:rsidRPr="00DC77CB">
        <w:t>juveniles to eventually replenish the population</w:t>
      </w:r>
      <w:r w:rsidR="00C568E3" w:rsidRPr="00DC77CB">
        <w:t>, it can take years for a population to recover.  F</w:t>
      </w:r>
      <w:r w:rsidRPr="00DC77CB">
        <w:t>emales typically require 7-11 years to attain sexual maturity, and because nest predation is so extensive, it may be another 15 years before successful reproduction takes place</w:t>
      </w:r>
      <w:r w:rsidR="001944EE" w:rsidRPr="00DC77CB">
        <w:t xml:space="preserve"> (James Christiansen, Professor Emeritus of Biology, Drake University, personal; communication)</w:t>
      </w:r>
      <w:r w:rsidRPr="00DC77CB">
        <w:t>. </w:t>
      </w:r>
      <w:r w:rsidR="005E0987" w:rsidRPr="00DC77CB">
        <w:t xml:space="preserve"> </w:t>
      </w:r>
    </w:p>
    <w:p w:rsidR="005E0987" w:rsidRPr="00DC77CB" w:rsidRDefault="00440B6C" w:rsidP="00AB34D0">
      <w:pPr>
        <w:jc w:val="both"/>
      </w:pPr>
      <w:r w:rsidRPr="00DC77CB">
        <w:lastRenderedPageBreak/>
        <w:t>Natural turtle mortality is very high</w:t>
      </w:r>
      <w:r w:rsidR="00467089" w:rsidRPr="00DC77CB">
        <w:t xml:space="preserve"> </w:t>
      </w:r>
      <w:r w:rsidRPr="00DC77CB">
        <w:t xml:space="preserve">and </w:t>
      </w:r>
      <w:r w:rsidR="00877233" w:rsidRPr="00DC77CB">
        <w:t xml:space="preserve">the anthropogenic threats </w:t>
      </w:r>
      <w:r w:rsidRPr="00DC77CB">
        <w:t>describe</w:t>
      </w:r>
      <w:r w:rsidR="003B1449" w:rsidRPr="00DC77CB">
        <w:t>d</w:t>
      </w:r>
      <w:r w:rsidRPr="00DC77CB">
        <w:t xml:space="preserve"> above </w:t>
      </w:r>
      <w:r w:rsidR="00877233" w:rsidRPr="00DC77CB">
        <w:t xml:space="preserve">have artificially elevated that mortality rate </w:t>
      </w:r>
      <w:r w:rsidR="003B1449" w:rsidRPr="00DC77CB">
        <w:t>thereby</w:t>
      </w:r>
      <w:r w:rsidR="00877233" w:rsidRPr="00DC77CB">
        <w:t xml:space="preserve"> reduc</w:t>
      </w:r>
      <w:r w:rsidR="003B1449" w:rsidRPr="00DC77CB">
        <w:t>ing</w:t>
      </w:r>
      <w:r w:rsidR="00877233" w:rsidRPr="00DC77CB">
        <w:t xml:space="preserve"> the number of turtles that survive to adulthood.  </w:t>
      </w:r>
      <w:r w:rsidR="005E0987" w:rsidRPr="00DC77CB">
        <w:t xml:space="preserve">The reproductive strategy of turtles involves producing many young (with no parental care) in hopes that a few survive and perpetuate the population.  Many mature adults are needed to populate aquatic environments with hatchlings that suffer heavy mortality.  Therefore, it is critical to allow as many females as possible to nest in order to maximize the number of hatchlings produced.  </w:t>
      </w:r>
      <w:r w:rsidR="00A978FC" w:rsidRPr="00DC77CB">
        <w:t xml:space="preserve">Protecting </w:t>
      </w:r>
      <w:r w:rsidR="00433C45" w:rsidRPr="00DC77CB">
        <w:t>l</w:t>
      </w:r>
      <w:r w:rsidR="00A978FC" w:rsidRPr="00DC77CB">
        <w:t xml:space="preserve">arge, old females long enough for them </w:t>
      </w:r>
      <w:r w:rsidR="00433C45" w:rsidRPr="00DC77CB">
        <w:t>to</w:t>
      </w:r>
      <w:r w:rsidR="00A978FC" w:rsidRPr="00DC77CB">
        <w:t xml:space="preserve"> la</w:t>
      </w:r>
      <w:r w:rsidR="00433C45" w:rsidRPr="00DC77CB">
        <w:t>y their eggs is the best way to ensure that enough eggs ar</w:t>
      </w:r>
      <w:r w:rsidR="005E0987" w:rsidRPr="00DC77CB">
        <w:t>e</w:t>
      </w:r>
      <w:r w:rsidR="00433C45" w:rsidRPr="00DC77CB">
        <w:t xml:space="preserve"> being laid to sustain the population.  </w:t>
      </w:r>
      <w:r w:rsidR="00057C34" w:rsidRPr="00DC77CB">
        <w:t xml:space="preserve">Most anthropogenic threats cannot be controlled; therefore more controllable sources of mortality, such as harvest, must be used to offset the impacts of other threats.  </w:t>
      </w:r>
    </w:p>
    <w:p w:rsidR="00146E08" w:rsidRPr="00DC77CB" w:rsidRDefault="00146E08" w:rsidP="00AB34D0">
      <w:pPr>
        <w:jc w:val="both"/>
      </w:pPr>
      <w:r w:rsidRPr="00DC77CB">
        <w:rPr>
          <w:b/>
          <w:i/>
        </w:rPr>
        <w:t>Life history characteristics of turtles make them prone to overharvest.</w:t>
      </w:r>
    </w:p>
    <w:p w:rsidR="00E04712" w:rsidRPr="00146E08" w:rsidRDefault="00E04712" w:rsidP="00AB34D0">
      <w:pPr>
        <w:spacing w:line="240" w:lineRule="auto"/>
        <w:jc w:val="both"/>
      </w:pPr>
      <w:r w:rsidRPr="00DC77CB">
        <w:t>Life history characteristics of turtles make them difficult to manage for sustainable commercial harvest.  These characteristics include an extended age to maturity, low annual fecundity and low hatchling survival.  For Iowa turtles, like all the worlds’ turtles, the key to self sustaining populations is to have high annual adult survival (</w:t>
      </w:r>
      <w:proofErr w:type="spellStart"/>
      <w:r w:rsidRPr="00DC77CB">
        <w:t>Congdon</w:t>
      </w:r>
      <w:proofErr w:type="spellEnd"/>
      <w:r w:rsidRPr="00DC77CB">
        <w:t xml:space="preserve"> et al. 1994, </w:t>
      </w:r>
      <w:proofErr w:type="spellStart"/>
      <w:r w:rsidRPr="00DC77CB">
        <w:t>Congdon</w:t>
      </w:r>
      <w:proofErr w:type="spellEnd"/>
      <w:r w:rsidRPr="00DC77CB">
        <w:t xml:space="preserve"> and Dunham 1994, </w:t>
      </w:r>
      <w:proofErr w:type="spellStart"/>
      <w:r w:rsidRPr="00DC77CB">
        <w:t>Congdon</w:t>
      </w:r>
      <w:proofErr w:type="spellEnd"/>
      <w:r w:rsidRPr="00DC77CB">
        <w:t xml:space="preserve"> and Gibbons 1990, </w:t>
      </w:r>
      <w:proofErr w:type="spellStart"/>
      <w:r w:rsidRPr="00DC77CB">
        <w:t>Heppel</w:t>
      </w:r>
      <w:proofErr w:type="spellEnd"/>
      <w:r w:rsidRPr="00DC77CB">
        <w:t xml:space="preserve"> 1988).  Habitat destruction and harvest are two factors that greatly influence adult survival of turtles</w:t>
      </w:r>
      <w:r w:rsidR="0052603E" w:rsidRPr="00DC77CB">
        <w:t xml:space="preserve"> – both occur relatively unchecked in Iowa.  Risks associated with harvest are exacerbated in the case of Iowa turtles because </w:t>
      </w:r>
      <w:r w:rsidR="009B6E8D" w:rsidRPr="00DC77CB">
        <w:t xml:space="preserve">harvesters </w:t>
      </w:r>
      <w:r w:rsidR="0052603E" w:rsidRPr="00DC77CB">
        <w:t>normally target large adults.  Additionally, targeting females for egg/hatchling market may skew the population and reprodu</w:t>
      </w:r>
      <w:r w:rsidR="0052603E" w:rsidRPr="00146E08">
        <w:t>ctive rates can be become further depressed.</w:t>
      </w:r>
      <w:r w:rsidR="0052603E">
        <w:t xml:space="preserve">  </w:t>
      </w:r>
      <w:r>
        <w:t xml:space="preserve">This vulnerability to overharvest requires vigilant monitoring, strict regulations, and stringent enforcement to ensure sustainability.  </w:t>
      </w:r>
      <w:r w:rsidRPr="00146E08">
        <w:t xml:space="preserve"> </w:t>
      </w:r>
    </w:p>
    <w:p w:rsidR="003640CA" w:rsidRPr="0052603E" w:rsidRDefault="003640CA" w:rsidP="00AB34D0">
      <w:pPr>
        <w:spacing w:line="240" w:lineRule="auto"/>
        <w:jc w:val="both"/>
        <w:rPr>
          <w:b/>
          <w:i/>
        </w:rPr>
      </w:pPr>
      <w:r w:rsidRPr="0052603E">
        <w:rPr>
          <w:b/>
          <w:i/>
        </w:rPr>
        <w:t>Currently, nearly a third of commercial turtle harvest occurs during the nesting season.</w:t>
      </w:r>
    </w:p>
    <w:p w:rsidR="0052603E" w:rsidRDefault="003A1480" w:rsidP="00AB34D0">
      <w:pPr>
        <w:spacing w:line="240" w:lineRule="auto"/>
        <w:jc w:val="both"/>
      </w:pPr>
      <w:r>
        <w:t xml:space="preserve">Iowa turtles nest mid May through July (Table 1).  Common snapping turtles nest mid May to mid June and softshell turtles nest throughout June and July with some beginning to nest in late May. </w:t>
      </w:r>
      <w:r w:rsidRPr="006D33F0">
        <w:t xml:space="preserve"> </w:t>
      </w:r>
      <w:r w:rsidR="006D33F0" w:rsidRPr="006D33F0">
        <w:t>The presence of large, non-</w:t>
      </w:r>
      <w:proofErr w:type="spellStart"/>
      <w:r w:rsidR="006D33F0" w:rsidRPr="006D33F0">
        <w:t>ovulatory</w:t>
      </w:r>
      <w:proofErr w:type="spellEnd"/>
      <w:r w:rsidR="006D33F0" w:rsidRPr="006D33F0">
        <w:t xml:space="preserve"> follicles in young females had resulted in the belief that female snappers mature at younger ages than they do.  Christiansen and </w:t>
      </w:r>
      <w:proofErr w:type="spellStart"/>
      <w:r w:rsidR="006D33F0" w:rsidRPr="006D33F0">
        <w:t>Burken</w:t>
      </w:r>
      <w:proofErr w:type="spellEnd"/>
      <w:r w:rsidR="006D33F0" w:rsidRPr="006D33F0">
        <w:t xml:space="preserve"> (1979) found that ovulations most often occur in the seventh full year of growth (excluding the hatching year) or even later at </w:t>
      </w:r>
      <w:proofErr w:type="spellStart"/>
      <w:r w:rsidR="006D33F0" w:rsidRPr="006D33F0">
        <w:t>plastral</w:t>
      </w:r>
      <w:proofErr w:type="spellEnd"/>
      <w:r w:rsidR="006D33F0" w:rsidRPr="006D33F0">
        <w:t xml:space="preserve"> lengths of at least </w:t>
      </w:r>
      <w:r w:rsidR="00D8076A">
        <w:t>6.9 in</w:t>
      </w:r>
      <w:r w:rsidR="006D33F0" w:rsidRPr="006D33F0">
        <w:t xml:space="preserve"> </w:t>
      </w:r>
      <w:r w:rsidR="00D8076A">
        <w:t>(8.3 in</w:t>
      </w:r>
      <w:r w:rsidR="006D33F0" w:rsidRPr="006D33F0">
        <w:t xml:space="preserve"> carapace length</w:t>
      </w:r>
      <w:r w:rsidR="001944EE">
        <w:t>)</w:t>
      </w:r>
      <w:r w:rsidR="006D33F0" w:rsidRPr="006D33F0">
        <w:t>.  A six year old female had just matured but it was larger than many older females and one 11 year-old was still immature.  Fe</w:t>
      </w:r>
      <w:r w:rsidR="006D33F0">
        <w:t>males typically mature three years later than males (J</w:t>
      </w:r>
      <w:r w:rsidR="00CD5F88">
        <w:t xml:space="preserve">ames </w:t>
      </w:r>
      <w:r w:rsidR="006D33F0">
        <w:t>Christiansen</w:t>
      </w:r>
      <w:r w:rsidR="00344745">
        <w:t>,</w:t>
      </w:r>
      <w:r w:rsidR="006D33F0">
        <w:t xml:space="preserve"> </w:t>
      </w:r>
      <w:r w:rsidR="00CD5F88" w:rsidRPr="00CD5F88">
        <w:t>Professor Emeritus of Biology, Drake University</w:t>
      </w:r>
      <w:r w:rsidR="00CD5F88">
        <w:t xml:space="preserve">, </w:t>
      </w:r>
      <w:proofErr w:type="gramStart"/>
      <w:r w:rsidR="005045DC">
        <w:t>un</w:t>
      </w:r>
      <w:r w:rsidR="006D33F0">
        <w:t>published</w:t>
      </w:r>
      <w:proofErr w:type="gramEnd"/>
      <w:r w:rsidR="005045DC">
        <w:t xml:space="preserve"> data</w:t>
      </w:r>
      <w:r w:rsidR="006D33F0">
        <w:t>)</w:t>
      </w:r>
      <w:r w:rsidR="00377392">
        <w:t>.</w:t>
      </w:r>
      <w:r w:rsidR="005045DC">
        <w:t xml:space="preserve">  </w:t>
      </w:r>
      <w:r w:rsidR="003B1449">
        <w:t xml:space="preserve">This has serious implications when larger snapping turtles are harvested for food.  </w:t>
      </w:r>
      <w:r>
        <w:t>Harvest occurs throughout the year in Iowa with 40% of the snapping turtle harvest occurring in the months of May and June and 60% of the softshell harvest occurring in the months of June and July (Figure 9).</w:t>
      </w:r>
    </w:p>
    <w:p w:rsidR="00205058" w:rsidRPr="00344745" w:rsidRDefault="00205058" w:rsidP="00AB34D0">
      <w:pPr>
        <w:spacing w:line="240" w:lineRule="auto"/>
        <w:jc w:val="both"/>
        <w:rPr>
          <w:sz w:val="20"/>
          <w:szCs w:val="20"/>
        </w:rPr>
      </w:pPr>
      <w:proofErr w:type="gramStart"/>
      <w:r w:rsidRPr="00344745">
        <w:rPr>
          <w:b/>
          <w:sz w:val="20"/>
          <w:szCs w:val="20"/>
        </w:rPr>
        <w:t>Table 1.</w:t>
      </w:r>
      <w:proofErr w:type="gramEnd"/>
      <w:r w:rsidRPr="00344745">
        <w:rPr>
          <w:sz w:val="20"/>
          <w:szCs w:val="20"/>
        </w:rPr>
        <w:t xml:space="preserve">  </w:t>
      </w:r>
      <w:proofErr w:type="gramStart"/>
      <w:r w:rsidRPr="00344745">
        <w:rPr>
          <w:sz w:val="20"/>
          <w:szCs w:val="20"/>
        </w:rPr>
        <w:t>Nesting season, size and age at maturity, and maximum length of commercially harvested turtle species in Iowa.</w:t>
      </w:r>
      <w:proofErr w:type="gramEnd"/>
      <w:r w:rsidRPr="00344745">
        <w:rPr>
          <w:sz w:val="20"/>
          <w:szCs w:val="20"/>
        </w:rPr>
        <w:t xml:space="preserve">  PL=plastron length, SCL=straight line carapace length.</w:t>
      </w:r>
    </w:p>
    <w:tbl>
      <w:tblPr>
        <w:tblW w:w="8560" w:type="dxa"/>
        <w:jc w:val="center"/>
        <w:tblInd w:w="94" w:type="dxa"/>
        <w:tblLook w:val="04A0"/>
      </w:tblPr>
      <w:tblGrid>
        <w:gridCol w:w="1860"/>
        <w:gridCol w:w="1340"/>
        <w:gridCol w:w="1340"/>
        <w:gridCol w:w="1340"/>
        <w:gridCol w:w="1340"/>
        <w:gridCol w:w="1340"/>
      </w:tblGrid>
      <w:tr w:rsidR="00935140" w:rsidRPr="00935140" w:rsidTr="00344745">
        <w:trPr>
          <w:trHeight w:val="615"/>
          <w:jc w:val="center"/>
        </w:trPr>
        <w:tc>
          <w:tcPr>
            <w:tcW w:w="1860" w:type="dxa"/>
            <w:vMerge w:val="restart"/>
            <w:tcBorders>
              <w:top w:val="single" w:sz="4" w:space="0" w:color="auto"/>
              <w:left w:val="nil"/>
              <w:bottom w:val="single" w:sz="4" w:space="0" w:color="000000"/>
              <w:right w:val="nil"/>
            </w:tcBorders>
            <w:shd w:val="clear" w:color="auto" w:fill="auto"/>
            <w:hideMark/>
          </w:tcPr>
          <w:p w:rsidR="00935140" w:rsidRPr="00935140" w:rsidRDefault="00935140" w:rsidP="00AB34D0">
            <w:pPr>
              <w:spacing w:line="240" w:lineRule="auto"/>
              <w:jc w:val="center"/>
              <w:rPr>
                <w:rFonts w:eastAsia="Times New Roman" w:cs="Arial"/>
                <w:b/>
                <w:bCs/>
                <w:color w:val="000000"/>
              </w:rPr>
            </w:pPr>
            <w:r w:rsidRPr="00935140">
              <w:rPr>
                <w:rFonts w:eastAsia="Times New Roman" w:cs="Arial"/>
                <w:b/>
                <w:bCs/>
                <w:color w:val="000000"/>
              </w:rPr>
              <w:t>Species</w:t>
            </w:r>
          </w:p>
        </w:tc>
        <w:tc>
          <w:tcPr>
            <w:tcW w:w="2680" w:type="dxa"/>
            <w:gridSpan w:val="2"/>
            <w:tcBorders>
              <w:top w:val="single" w:sz="4" w:space="0" w:color="auto"/>
              <w:left w:val="nil"/>
              <w:bottom w:val="nil"/>
              <w:right w:val="nil"/>
            </w:tcBorders>
            <w:shd w:val="clear" w:color="auto" w:fill="auto"/>
            <w:hideMark/>
          </w:tcPr>
          <w:p w:rsidR="00935140" w:rsidRPr="00935140" w:rsidRDefault="00935140" w:rsidP="00AB34D0">
            <w:pPr>
              <w:spacing w:line="240" w:lineRule="auto"/>
              <w:jc w:val="center"/>
              <w:rPr>
                <w:rFonts w:eastAsia="Times New Roman" w:cs="Arial"/>
                <w:b/>
                <w:bCs/>
                <w:color w:val="000000"/>
              </w:rPr>
            </w:pPr>
            <w:r w:rsidRPr="00935140">
              <w:rPr>
                <w:rFonts w:eastAsia="Times New Roman" w:cs="Arial"/>
                <w:b/>
                <w:bCs/>
                <w:color w:val="000000"/>
              </w:rPr>
              <w:t>Nesting season</w:t>
            </w:r>
          </w:p>
        </w:tc>
        <w:tc>
          <w:tcPr>
            <w:tcW w:w="1340" w:type="dxa"/>
            <w:tcBorders>
              <w:top w:val="single" w:sz="4" w:space="0" w:color="auto"/>
              <w:left w:val="nil"/>
              <w:bottom w:val="nil"/>
              <w:right w:val="nil"/>
            </w:tcBorders>
            <w:shd w:val="clear" w:color="auto" w:fill="auto"/>
            <w:hideMark/>
          </w:tcPr>
          <w:p w:rsidR="00935140" w:rsidRPr="00935140" w:rsidRDefault="00935140" w:rsidP="00AB34D0">
            <w:pPr>
              <w:spacing w:line="240" w:lineRule="auto"/>
              <w:jc w:val="center"/>
              <w:rPr>
                <w:rFonts w:eastAsia="Times New Roman" w:cs="Arial"/>
                <w:b/>
                <w:bCs/>
                <w:color w:val="000000"/>
              </w:rPr>
            </w:pPr>
            <w:r w:rsidRPr="00935140">
              <w:rPr>
                <w:rFonts w:eastAsia="Times New Roman" w:cs="Arial"/>
                <w:b/>
                <w:bCs/>
                <w:color w:val="000000"/>
              </w:rPr>
              <w:t>Size at maturity</w:t>
            </w:r>
          </w:p>
        </w:tc>
        <w:tc>
          <w:tcPr>
            <w:tcW w:w="1340" w:type="dxa"/>
            <w:tcBorders>
              <w:top w:val="single" w:sz="4" w:space="0" w:color="auto"/>
              <w:left w:val="nil"/>
              <w:bottom w:val="nil"/>
              <w:right w:val="nil"/>
            </w:tcBorders>
            <w:shd w:val="clear" w:color="auto" w:fill="auto"/>
            <w:hideMark/>
          </w:tcPr>
          <w:p w:rsidR="00935140" w:rsidRPr="00935140" w:rsidRDefault="00935140" w:rsidP="00AB34D0">
            <w:pPr>
              <w:spacing w:line="240" w:lineRule="auto"/>
              <w:jc w:val="center"/>
              <w:rPr>
                <w:rFonts w:eastAsia="Times New Roman" w:cs="Arial"/>
                <w:b/>
                <w:bCs/>
                <w:color w:val="000000"/>
              </w:rPr>
            </w:pPr>
            <w:r w:rsidRPr="00935140">
              <w:rPr>
                <w:rFonts w:eastAsia="Times New Roman" w:cs="Arial"/>
                <w:b/>
                <w:bCs/>
                <w:color w:val="000000"/>
              </w:rPr>
              <w:t>Age at maturity</w:t>
            </w:r>
          </w:p>
        </w:tc>
        <w:tc>
          <w:tcPr>
            <w:tcW w:w="1340" w:type="dxa"/>
            <w:tcBorders>
              <w:top w:val="single" w:sz="4" w:space="0" w:color="auto"/>
              <w:left w:val="nil"/>
              <w:bottom w:val="nil"/>
              <w:right w:val="nil"/>
            </w:tcBorders>
            <w:shd w:val="clear" w:color="auto" w:fill="auto"/>
            <w:hideMark/>
          </w:tcPr>
          <w:p w:rsidR="00935140" w:rsidRPr="00935140" w:rsidRDefault="00935140" w:rsidP="00AB34D0">
            <w:pPr>
              <w:spacing w:line="240" w:lineRule="auto"/>
              <w:jc w:val="center"/>
              <w:rPr>
                <w:rFonts w:eastAsia="Times New Roman" w:cs="Arial"/>
                <w:b/>
                <w:bCs/>
                <w:color w:val="000000"/>
              </w:rPr>
            </w:pPr>
            <w:r w:rsidRPr="00935140">
              <w:rPr>
                <w:rFonts w:eastAsia="Times New Roman" w:cs="Arial"/>
                <w:b/>
                <w:bCs/>
                <w:color w:val="000000"/>
              </w:rPr>
              <w:t>Maximum length</w:t>
            </w:r>
          </w:p>
        </w:tc>
      </w:tr>
      <w:tr w:rsidR="00935140" w:rsidRPr="00935140" w:rsidTr="00344745">
        <w:trPr>
          <w:trHeight w:val="600"/>
          <w:jc w:val="center"/>
        </w:trPr>
        <w:tc>
          <w:tcPr>
            <w:tcW w:w="1860" w:type="dxa"/>
            <w:vMerge/>
            <w:tcBorders>
              <w:top w:val="single" w:sz="4" w:space="0" w:color="auto"/>
              <w:left w:val="nil"/>
              <w:bottom w:val="single" w:sz="4" w:space="0" w:color="000000"/>
              <w:right w:val="nil"/>
            </w:tcBorders>
            <w:vAlign w:val="center"/>
            <w:hideMark/>
          </w:tcPr>
          <w:p w:rsidR="00935140" w:rsidRPr="00935140" w:rsidRDefault="00935140" w:rsidP="00AB34D0">
            <w:pPr>
              <w:spacing w:after="0" w:line="240" w:lineRule="auto"/>
              <w:rPr>
                <w:rFonts w:eastAsia="Times New Roman" w:cs="Arial"/>
                <w:b/>
                <w:bCs/>
                <w:color w:val="000000"/>
              </w:rPr>
            </w:pPr>
          </w:p>
        </w:tc>
        <w:tc>
          <w:tcPr>
            <w:tcW w:w="1340" w:type="dxa"/>
            <w:tcBorders>
              <w:top w:val="nil"/>
              <w:left w:val="nil"/>
              <w:bottom w:val="single" w:sz="4" w:space="0" w:color="auto"/>
              <w:right w:val="nil"/>
            </w:tcBorders>
            <w:shd w:val="clear" w:color="auto" w:fill="auto"/>
            <w:vAlign w:val="bottom"/>
            <w:hideMark/>
          </w:tcPr>
          <w:p w:rsidR="00935140" w:rsidRPr="00935140" w:rsidRDefault="00935140" w:rsidP="00AB34D0">
            <w:pPr>
              <w:spacing w:after="0" w:line="240" w:lineRule="auto"/>
              <w:jc w:val="center"/>
              <w:rPr>
                <w:rFonts w:eastAsia="Times New Roman" w:cs="Arial"/>
                <w:i/>
                <w:iCs/>
                <w:color w:val="000000"/>
              </w:rPr>
            </w:pPr>
            <w:r w:rsidRPr="00935140">
              <w:rPr>
                <w:rFonts w:eastAsia="Times New Roman" w:cs="Arial"/>
                <w:i/>
                <w:iCs/>
                <w:color w:val="000000"/>
              </w:rPr>
              <w:t xml:space="preserve">Le </w:t>
            </w:r>
            <w:proofErr w:type="spellStart"/>
            <w:r w:rsidRPr="00935140">
              <w:rPr>
                <w:rFonts w:eastAsia="Times New Roman" w:cs="Arial"/>
                <w:i/>
                <w:iCs/>
                <w:color w:val="000000"/>
              </w:rPr>
              <w:t>Clere</w:t>
            </w:r>
            <w:proofErr w:type="spellEnd"/>
            <w:r w:rsidRPr="00935140">
              <w:rPr>
                <w:rFonts w:eastAsia="Times New Roman" w:cs="Arial"/>
                <w:i/>
                <w:iCs/>
                <w:color w:val="000000"/>
              </w:rPr>
              <w:t xml:space="preserve"> 2009</w:t>
            </w:r>
          </w:p>
        </w:tc>
        <w:tc>
          <w:tcPr>
            <w:tcW w:w="1340" w:type="dxa"/>
            <w:tcBorders>
              <w:top w:val="nil"/>
              <w:left w:val="nil"/>
              <w:bottom w:val="single" w:sz="4" w:space="0" w:color="auto"/>
              <w:right w:val="nil"/>
            </w:tcBorders>
            <w:shd w:val="clear" w:color="auto" w:fill="auto"/>
            <w:vAlign w:val="bottom"/>
            <w:hideMark/>
          </w:tcPr>
          <w:p w:rsidR="00935140" w:rsidRPr="00935140" w:rsidRDefault="00935140" w:rsidP="00AB34D0">
            <w:pPr>
              <w:spacing w:after="0" w:line="240" w:lineRule="auto"/>
              <w:jc w:val="center"/>
              <w:rPr>
                <w:rFonts w:eastAsia="Times New Roman" w:cs="Arial"/>
                <w:i/>
                <w:iCs/>
                <w:color w:val="000000"/>
              </w:rPr>
            </w:pPr>
            <w:r w:rsidRPr="00935140">
              <w:rPr>
                <w:rFonts w:eastAsia="Times New Roman" w:cs="Arial"/>
                <w:i/>
                <w:iCs/>
                <w:color w:val="000000"/>
              </w:rPr>
              <w:t xml:space="preserve">Ernst &amp; </w:t>
            </w:r>
            <w:proofErr w:type="spellStart"/>
            <w:r w:rsidRPr="00935140">
              <w:rPr>
                <w:rFonts w:eastAsia="Times New Roman" w:cs="Arial"/>
                <w:i/>
                <w:iCs/>
                <w:color w:val="000000"/>
              </w:rPr>
              <w:t>Lovich</w:t>
            </w:r>
            <w:proofErr w:type="spellEnd"/>
            <w:r w:rsidRPr="00935140">
              <w:rPr>
                <w:rFonts w:eastAsia="Times New Roman" w:cs="Arial"/>
                <w:i/>
                <w:iCs/>
                <w:color w:val="000000"/>
              </w:rPr>
              <w:t xml:space="preserve"> 2010</w:t>
            </w:r>
          </w:p>
        </w:tc>
        <w:tc>
          <w:tcPr>
            <w:tcW w:w="1340" w:type="dxa"/>
            <w:tcBorders>
              <w:top w:val="nil"/>
              <w:left w:val="nil"/>
              <w:bottom w:val="single" w:sz="4" w:space="0" w:color="auto"/>
              <w:right w:val="nil"/>
            </w:tcBorders>
            <w:shd w:val="clear" w:color="auto" w:fill="auto"/>
            <w:vAlign w:val="bottom"/>
            <w:hideMark/>
          </w:tcPr>
          <w:p w:rsidR="00935140" w:rsidRPr="00935140" w:rsidRDefault="00935140" w:rsidP="00AB34D0">
            <w:pPr>
              <w:spacing w:after="0" w:line="240" w:lineRule="auto"/>
              <w:jc w:val="center"/>
              <w:rPr>
                <w:rFonts w:eastAsia="Times New Roman" w:cs="Arial"/>
                <w:color w:val="000000"/>
              </w:rPr>
            </w:pPr>
            <w:r w:rsidRPr="00935140">
              <w:rPr>
                <w:rFonts w:eastAsia="Times New Roman" w:cs="Arial"/>
                <w:color w:val="000000"/>
              </w:rPr>
              <w:t>(PL, inches)</w:t>
            </w:r>
          </w:p>
        </w:tc>
        <w:tc>
          <w:tcPr>
            <w:tcW w:w="1340" w:type="dxa"/>
            <w:tcBorders>
              <w:top w:val="nil"/>
              <w:left w:val="nil"/>
              <w:bottom w:val="single" w:sz="4" w:space="0" w:color="auto"/>
              <w:right w:val="nil"/>
            </w:tcBorders>
            <w:shd w:val="clear" w:color="auto" w:fill="auto"/>
            <w:vAlign w:val="bottom"/>
            <w:hideMark/>
          </w:tcPr>
          <w:p w:rsidR="00935140" w:rsidRPr="00935140" w:rsidRDefault="00935140" w:rsidP="00AB34D0">
            <w:pPr>
              <w:spacing w:after="0" w:line="240" w:lineRule="auto"/>
              <w:jc w:val="center"/>
              <w:rPr>
                <w:rFonts w:eastAsia="Times New Roman" w:cs="Arial"/>
                <w:color w:val="000000"/>
              </w:rPr>
            </w:pPr>
            <w:r w:rsidRPr="00935140">
              <w:rPr>
                <w:rFonts w:eastAsia="Times New Roman" w:cs="Arial"/>
                <w:bCs/>
                <w:color w:val="000000"/>
              </w:rPr>
              <w:t>(years)</w:t>
            </w:r>
          </w:p>
        </w:tc>
        <w:tc>
          <w:tcPr>
            <w:tcW w:w="1340" w:type="dxa"/>
            <w:tcBorders>
              <w:top w:val="nil"/>
              <w:left w:val="nil"/>
              <w:bottom w:val="single" w:sz="4" w:space="0" w:color="auto"/>
              <w:right w:val="nil"/>
            </w:tcBorders>
            <w:shd w:val="clear" w:color="auto" w:fill="auto"/>
            <w:vAlign w:val="bottom"/>
            <w:hideMark/>
          </w:tcPr>
          <w:p w:rsidR="00935140" w:rsidRPr="00935140" w:rsidRDefault="00935140" w:rsidP="00AB34D0">
            <w:pPr>
              <w:spacing w:after="0" w:line="240" w:lineRule="auto"/>
              <w:jc w:val="center"/>
              <w:rPr>
                <w:rFonts w:eastAsia="Times New Roman" w:cs="Arial"/>
                <w:color w:val="000000"/>
              </w:rPr>
            </w:pPr>
            <w:r w:rsidRPr="00935140">
              <w:rPr>
                <w:rFonts w:eastAsia="Times New Roman" w:cs="Arial"/>
                <w:color w:val="000000"/>
              </w:rPr>
              <w:t>(SCL, inches)</w:t>
            </w:r>
          </w:p>
        </w:tc>
      </w:tr>
      <w:tr w:rsidR="00935140" w:rsidRPr="00935140" w:rsidTr="00344745">
        <w:trPr>
          <w:trHeight w:val="402"/>
          <w:jc w:val="center"/>
        </w:trPr>
        <w:tc>
          <w:tcPr>
            <w:tcW w:w="186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rPr>
                <w:rFonts w:eastAsia="Times New Roman" w:cs="Arial"/>
                <w:color w:val="000000"/>
              </w:rPr>
            </w:pPr>
            <w:r w:rsidRPr="00935140">
              <w:rPr>
                <w:rFonts w:eastAsia="Times New Roman" w:cs="Arial"/>
                <w:color w:val="000000"/>
              </w:rPr>
              <w:t>Painted turtle</w:t>
            </w:r>
          </w:p>
        </w:tc>
        <w:tc>
          <w:tcPr>
            <w:tcW w:w="134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Late May-June</w:t>
            </w:r>
          </w:p>
        </w:tc>
        <w:tc>
          <w:tcPr>
            <w:tcW w:w="134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June</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2.8-3.7</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2-4</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6.0</w:t>
            </w:r>
          </w:p>
        </w:tc>
      </w:tr>
      <w:tr w:rsidR="00935140" w:rsidRPr="00935140" w:rsidTr="00344745">
        <w:trPr>
          <w:trHeight w:val="390"/>
          <w:jc w:val="center"/>
        </w:trPr>
        <w:tc>
          <w:tcPr>
            <w:tcW w:w="1860" w:type="dxa"/>
            <w:vMerge/>
            <w:tcBorders>
              <w:top w:val="nil"/>
              <w:left w:val="nil"/>
              <w:bottom w:val="nil"/>
              <w:right w:val="nil"/>
            </w:tcBorders>
            <w:vAlign w:val="center"/>
            <w:hideMark/>
          </w:tcPr>
          <w:p w:rsidR="00935140" w:rsidRPr="00935140" w:rsidRDefault="00935140" w:rsidP="00AB34D0">
            <w:pPr>
              <w:spacing w:after="0" w:line="240" w:lineRule="auto"/>
              <w:rPr>
                <w:rFonts w:eastAsia="Times New Roman" w:cs="Arial"/>
                <w:color w:val="000000"/>
              </w:rPr>
            </w:pPr>
          </w:p>
        </w:tc>
        <w:tc>
          <w:tcPr>
            <w:tcW w:w="1340" w:type="dxa"/>
            <w:vMerge/>
            <w:tcBorders>
              <w:top w:val="nil"/>
              <w:left w:val="nil"/>
              <w:bottom w:val="nil"/>
              <w:right w:val="nil"/>
            </w:tcBorders>
            <w:vAlign w:val="center"/>
            <w:hideMark/>
          </w:tcPr>
          <w:p w:rsidR="00935140" w:rsidRPr="00935140" w:rsidRDefault="00935140" w:rsidP="00AB34D0">
            <w:pPr>
              <w:spacing w:after="0" w:line="240" w:lineRule="auto"/>
              <w:rPr>
                <w:rFonts w:eastAsia="Times New Roman" w:cs="Arial"/>
                <w:color w:val="000000"/>
              </w:rPr>
            </w:pPr>
          </w:p>
        </w:tc>
        <w:tc>
          <w:tcPr>
            <w:tcW w:w="1340" w:type="dxa"/>
            <w:vMerge/>
            <w:tcBorders>
              <w:top w:val="nil"/>
              <w:left w:val="nil"/>
              <w:bottom w:val="nil"/>
              <w:right w:val="nil"/>
            </w:tcBorders>
            <w:vAlign w:val="center"/>
            <w:hideMark/>
          </w:tcPr>
          <w:p w:rsidR="00935140" w:rsidRPr="00935140" w:rsidRDefault="00935140" w:rsidP="00AB34D0">
            <w:pPr>
              <w:spacing w:after="0" w:line="240" w:lineRule="auto"/>
              <w:rPr>
                <w:rFonts w:eastAsia="Times New Roman" w:cs="Arial"/>
                <w:color w:val="000000"/>
              </w:rPr>
            </w:pPr>
          </w:p>
        </w:tc>
        <w:tc>
          <w:tcPr>
            <w:tcW w:w="1340" w:type="dxa"/>
            <w:tcBorders>
              <w:top w:val="nil"/>
              <w:left w:val="nil"/>
              <w:bottom w:val="nil"/>
              <w:right w:val="nil"/>
            </w:tcBorders>
            <w:shd w:val="clear" w:color="auto" w:fill="auto"/>
            <w:vAlign w:val="center"/>
            <w:hideMark/>
          </w:tcPr>
          <w:p w:rsidR="00935140" w:rsidRPr="00935140" w:rsidRDefault="00935140" w:rsidP="00AB34D0">
            <w:pPr>
              <w:spacing w:after="0" w:line="240" w:lineRule="auto"/>
              <w:jc w:val="center"/>
              <w:rPr>
                <w:rFonts w:eastAsia="Times New Roman" w:cs="Arial"/>
                <w:color w:val="000000"/>
              </w:rPr>
            </w:pPr>
            <w:r w:rsidRPr="00935140">
              <w:rPr>
                <w:rFonts w:eastAsia="Times New Roman" w:cs="Arial"/>
                <w:color w:val="000000"/>
              </w:rPr>
              <w:t>F = 3.8-5.0</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after="0" w:line="240" w:lineRule="auto"/>
              <w:jc w:val="center"/>
              <w:rPr>
                <w:rFonts w:eastAsia="Times New Roman" w:cs="Arial"/>
                <w:color w:val="000000"/>
              </w:rPr>
            </w:pPr>
            <w:r w:rsidRPr="00935140">
              <w:rPr>
                <w:rFonts w:eastAsia="Times New Roman" w:cs="Arial"/>
                <w:color w:val="000000"/>
              </w:rPr>
              <w:t>F = 6-10</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after="0" w:line="240" w:lineRule="auto"/>
              <w:jc w:val="center"/>
              <w:rPr>
                <w:rFonts w:eastAsia="Times New Roman" w:cs="Arial"/>
                <w:color w:val="000000"/>
              </w:rPr>
            </w:pPr>
            <w:r w:rsidRPr="00935140">
              <w:rPr>
                <w:rFonts w:eastAsia="Times New Roman" w:cs="Arial"/>
                <w:color w:val="000000"/>
              </w:rPr>
              <w:t>F = 10</w:t>
            </w:r>
          </w:p>
        </w:tc>
      </w:tr>
      <w:tr w:rsidR="00935140" w:rsidRPr="00935140" w:rsidTr="00344745">
        <w:trPr>
          <w:trHeight w:val="402"/>
          <w:jc w:val="center"/>
        </w:trPr>
        <w:tc>
          <w:tcPr>
            <w:tcW w:w="186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rPr>
                <w:rFonts w:eastAsia="Times New Roman" w:cs="Arial"/>
                <w:color w:val="000000"/>
              </w:rPr>
            </w:pPr>
            <w:r w:rsidRPr="00935140">
              <w:rPr>
                <w:rFonts w:eastAsia="Times New Roman" w:cs="Arial"/>
                <w:color w:val="000000"/>
              </w:rPr>
              <w:lastRenderedPageBreak/>
              <w:t>Common snapper</w:t>
            </w:r>
          </w:p>
        </w:tc>
        <w:tc>
          <w:tcPr>
            <w:tcW w:w="134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June</w:t>
            </w:r>
          </w:p>
        </w:tc>
        <w:tc>
          <w:tcPr>
            <w:tcW w:w="134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May 15-June 15</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5.9-6.1</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4-5</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19.4</w:t>
            </w:r>
          </w:p>
        </w:tc>
      </w:tr>
      <w:tr w:rsidR="00935140" w:rsidRPr="00935140" w:rsidTr="00344745">
        <w:trPr>
          <w:trHeight w:val="402"/>
          <w:jc w:val="center"/>
        </w:trPr>
        <w:tc>
          <w:tcPr>
            <w:tcW w:w="1860" w:type="dxa"/>
            <w:vMerge/>
            <w:tcBorders>
              <w:top w:val="nil"/>
              <w:left w:val="nil"/>
              <w:bottom w:val="nil"/>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vMerge/>
            <w:tcBorders>
              <w:top w:val="nil"/>
              <w:left w:val="nil"/>
              <w:bottom w:val="nil"/>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vMerge/>
            <w:tcBorders>
              <w:top w:val="nil"/>
              <w:left w:val="nil"/>
              <w:bottom w:val="nil"/>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4.8-6.9</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4-7</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14.4</w:t>
            </w:r>
          </w:p>
        </w:tc>
      </w:tr>
      <w:tr w:rsidR="00935140" w:rsidRPr="00935140" w:rsidTr="00344745">
        <w:trPr>
          <w:trHeight w:val="402"/>
          <w:jc w:val="center"/>
        </w:trPr>
        <w:tc>
          <w:tcPr>
            <w:tcW w:w="186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rPr>
                <w:rFonts w:eastAsia="Times New Roman" w:cs="Arial"/>
                <w:color w:val="000000"/>
              </w:rPr>
            </w:pPr>
            <w:r w:rsidRPr="00935140">
              <w:rPr>
                <w:rFonts w:eastAsia="Times New Roman" w:cs="Arial"/>
                <w:color w:val="000000"/>
              </w:rPr>
              <w:t>Spiny softshell</w:t>
            </w:r>
          </w:p>
        </w:tc>
        <w:tc>
          <w:tcPr>
            <w:tcW w:w="134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June-July</w:t>
            </w:r>
          </w:p>
        </w:tc>
        <w:tc>
          <w:tcPr>
            <w:tcW w:w="1340" w:type="dxa"/>
            <w:vMerge w:val="restart"/>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June-July</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3.1-3.5</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4-5</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8.5</w:t>
            </w:r>
          </w:p>
        </w:tc>
      </w:tr>
      <w:tr w:rsidR="00935140" w:rsidRPr="00935140" w:rsidTr="00344745">
        <w:trPr>
          <w:trHeight w:val="402"/>
          <w:jc w:val="center"/>
        </w:trPr>
        <w:tc>
          <w:tcPr>
            <w:tcW w:w="1860" w:type="dxa"/>
            <w:vMerge/>
            <w:tcBorders>
              <w:top w:val="nil"/>
              <w:left w:val="nil"/>
              <w:bottom w:val="nil"/>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vMerge/>
            <w:tcBorders>
              <w:top w:val="nil"/>
              <w:left w:val="nil"/>
              <w:bottom w:val="nil"/>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vMerge/>
            <w:tcBorders>
              <w:top w:val="nil"/>
              <w:left w:val="nil"/>
              <w:bottom w:val="nil"/>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7.1-7.9</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8-10</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21.3</w:t>
            </w:r>
          </w:p>
        </w:tc>
      </w:tr>
      <w:tr w:rsidR="00935140" w:rsidRPr="00935140" w:rsidTr="00344745">
        <w:trPr>
          <w:trHeight w:val="402"/>
          <w:jc w:val="center"/>
        </w:trPr>
        <w:tc>
          <w:tcPr>
            <w:tcW w:w="1860" w:type="dxa"/>
            <w:vMerge w:val="restart"/>
            <w:tcBorders>
              <w:top w:val="nil"/>
              <w:left w:val="nil"/>
              <w:bottom w:val="single" w:sz="4" w:space="0" w:color="000000"/>
              <w:right w:val="nil"/>
            </w:tcBorders>
            <w:shd w:val="clear" w:color="auto" w:fill="auto"/>
            <w:vAlign w:val="center"/>
            <w:hideMark/>
          </w:tcPr>
          <w:p w:rsidR="00935140" w:rsidRPr="00935140" w:rsidRDefault="00935140" w:rsidP="00AB34D0">
            <w:pPr>
              <w:spacing w:line="240" w:lineRule="auto"/>
              <w:rPr>
                <w:rFonts w:eastAsia="Times New Roman" w:cs="Arial"/>
                <w:color w:val="000000"/>
              </w:rPr>
            </w:pPr>
            <w:r w:rsidRPr="00935140">
              <w:rPr>
                <w:rFonts w:eastAsia="Times New Roman" w:cs="Arial"/>
                <w:color w:val="000000"/>
              </w:rPr>
              <w:t>Smooth softshell</w:t>
            </w:r>
          </w:p>
        </w:tc>
        <w:tc>
          <w:tcPr>
            <w:tcW w:w="1340" w:type="dxa"/>
            <w:vMerge w:val="restart"/>
            <w:tcBorders>
              <w:top w:val="nil"/>
              <w:left w:val="nil"/>
              <w:bottom w:val="single" w:sz="4" w:space="0" w:color="000000"/>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June-July</w:t>
            </w:r>
          </w:p>
        </w:tc>
        <w:tc>
          <w:tcPr>
            <w:tcW w:w="1340" w:type="dxa"/>
            <w:vMerge w:val="restart"/>
            <w:tcBorders>
              <w:top w:val="nil"/>
              <w:left w:val="nil"/>
              <w:bottom w:val="single" w:sz="4" w:space="0" w:color="000000"/>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Late May-July</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3.1-3.3</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4</w:t>
            </w:r>
          </w:p>
        </w:tc>
        <w:tc>
          <w:tcPr>
            <w:tcW w:w="1340" w:type="dxa"/>
            <w:tcBorders>
              <w:top w:val="nil"/>
              <w:left w:val="nil"/>
              <w:bottom w:val="nil"/>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M = 10.4</w:t>
            </w:r>
          </w:p>
        </w:tc>
      </w:tr>
      <w:tr w:rsidR="00935140" w:rsidRPr="00935140" w:rsidTr="00344745">
        <w:trPr>
          <w:trHeight w:val="402"/>
          <w:jc w:val="center"/>
        </w:trPr>
        <w:tc>
          <w:tcPr>
            <w:tcW w:w="1860" w:type="dxa"/>
            <w:vMerge/>
            <w:tcBorders>
              <w:top w:val="nil"/>
              <w:left w:val="nil"/>
              <w:bottom w:val="single" w:sz="4" w:space="0" w:color="000000"/>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vMerge/>
            <w:tcBorders>
              <w:top w:val="nil"/>
              <w:left w:val="nil"/>
              <w:bottom w:val="single" w:sz="4" w:space="0" w:color="000000"/>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vMerge/>
            <w:tcBorders>
              <w:top w:val="nil"/>
              <w:left w:val="nil"/>
              <w:bottom w:val="single" w:sz="4" w:space="0" w:color="000000"/>
              <w:right w:val="nil"/>
            </w:tcBorders>
            <w:vAlign w:val="center"/>
            <w:hideMark/>
          </w:tcPr>
          <w:p w:rsidR="00935140" w:rsidRPr="00935140" w:rsidRDefault="00935140" w:rsidP="00AB34D0">
            <w:pPr>
              <w:spacing w:line="240" w:lineRule="auto"/>
              <w:rPr>
                <w:rFonts w:eastAsia="Times New Roman" w:cs="Arial"/>
                <w:color w:val="000000"/>
              </w:rPr>
            </w:pPr>
          </w:p>
        </w:tc>
        <w:tc>
          <w:tcPr>
            <w:tcW w:w="1340" w:type="dxa"/>
            <w:tcBorders>
              <w:top w:val="nil"/>
              <w:left w:val="nil"/>
              <w:bottom w:val="single" w:sz="4" w:space="0" w:color="auto"/>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5.5-5.9</w:t>
            </w:r>
          </w:p>
        </w:tc>
        <w:tc>
          <w:tcPr>
            <w:tcW w:w="1340" w:type="dxa"/>
            <w:tcBorders>
              <w:top w:val="nil"/>
              <w:left w:val="nil"/>
              <w:bottom w:val="single" w:sz="4" w:space="0" w:color="auto"/>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9</w:t>
            </w:r>
          </w:p>
        </w:tc>
        <w:tc>
          <w:tcPr>
            <w:tcW w:w="1340" w:type="dxa"/>
            <w:tcBorders>
              <w:top w:val="nil"/>
              <w:left w:val="nil"/>
              <w:bottom w:val="single" w:sz="4" w:space="0" w:color="auto"/>
              <w:right w:val="nil"/>
            </w:tcBorders>
            <w:shd w:val="clear" w:color="auto" w:fill="auto"/>
            <w:vAlign w:val="center"/>
            <w:hideMark/>
          </w:tcPr>
          <w:p w:rsidR="00935140" w:rsidRPr="00935140" w:rsidRDefault="00935140" w:rsidP="00AB34D0">
            <w:pPr>
              <w:spacing w:line="240" w:lineRule="auto"/>
              <w:jc w:val="center"/>
              <w:rPr>
                <w:rFonts w:eastAsia="Times New Roman" w:cs="Arial"/>
                <w:color w:val="000000"/>
              </w:rPr>
            </w:pPr>
            <w:r w:rsidRPr="00935140">
              <w:rPr>
                <w:rFonts w:eastAsia="Times New Roman" w:cs="Arial"/>
                <w:color w:val="000000"/>
              </w:rPr>
              <w:t>F = 14.0</w:t>
            </w:r>
          </w:p>
        </w:tc>
      </w:tr>
    </w:tbl>
    <w:p w:rsidR="00F10526" w:rsidRDefault="00F10526" w:rsidP="00AB34D0">
      <w:pPr>
        <w:spacing w:line="240" w:lineRule="auto"/>
        <w:jc w:val="both"/>
      </w:pPr>
    </w:p>
    <w:p w:rsidR="0052603E" w:rsidRDefault="00FD7FD4" w:rsidP="00AB34D0">
      <w:pPr>
        <w:spacing w:line="240" w:lineRule="auto"/>
        <w:jc w:val="center"/>
      </w:pPr>
      <w:r>
        <w:rPr>
          <w:noProof/>
        </w:rPr>
        <w:drawing>
          <wp:inline distT="0" distB="0" distL="0" distR="0">
            <wp:extent cx="4002405" cy="23806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002405" cy="2380615"/>
                    </a:xfrm>
                    <a:prstGeom prst="rect">
                      <a:avLst/>
                    </a:prstGeom>
                    <a:noFill/>
                    <a:ln w="9525">
                      <a:noFill/>
                      <a:miter lim="800000"/>
                      <a:headEnd/>
                      <a:tailEnd/>
                    </a:ln>
                  </pic:spPr>
                </pic:pic>
              </a:graphicData>
            </a:graphic>
          </wp:inline>
        </w:drawing>
      </w:r>
    </w:p>
    <w:p w:rsidR="001A7258" w:rsidRPr="00344745" w:rsidRDefault="001A7258" w:rsidP="00AB34D0">
      <w:pPr>
        <w:spacing w:line="240" w:lineRule="auto"/>
        <w:jc w:val="both"/>
        <w:rPr>
          <w:sz w:val="20"/>
          <w:szCs w:val="20"/>
        </w:rPr>
      </w:pPr>
      <w:proofErr w:type="gramStart"/>
      <w:r w:rsidRPr="00344745">
        <w:rPr>
          <w:b/>
          <w:sz w:val="20"/>
          <w:szCs w:val="20"/>
        </w:rPr>
        <w:t xml:space="preserve">Figure </w:t>
      </w:r>
      <w:r w:rsidR="004F6629" w:rsidRPr="00344745">
        <w:rPr>
          <w:b/>
          <w:sz w:val="20"/>
          <w:szCs w:val="20"/>
        </w:rPr>
        <w:t>9</w:t>
      </w:r>
      <w:r w:rsidRPr="00344745">
        <w:rPr>
          <w:b/>
          <w:sz w:val="20"/>
          <w:szCs w:val="20"/>
        </w:rPr>
        <w:t>.</w:t>
      </w:r>
      <w:proofErr w:type="gramEnd"/>
      <w:r w:rsidRPr="00344745">
        <w:rPr>
          <w:sz w:val="20"/>
          <w:szCs w:val="20"/>
        </w:rPr>
        <w:t xml:space="preserve">  </w:t>
      </w:r>
      <w:r w:rsidR="008F1E46" w:rsidRPr="00344745">
        <w:rPr>
          <w:sz w:val="20"/>
          <w:szCs w:val="20"/>
        </w:rPr>
        <w:t>Average r</w:t>
      </w:r>
      <w:r w:rsidRPr="00344745">
        <w:rPr>
          <w:sz w:val="20"/>
          <w:szCs w:val="20"/>
        </w:rPr>
        <w:t xml:space="preserve">eported </w:t>
      </w:r>
      <w:r w:rsidR="008F1E46" w:rsidRPr="00344745">
        <w:rPr>
          <w:sz w:val="20"/>
          <w:szCs w:val="20"/>
        </w:rPr>
        <w:t xml:space="preserve">monthly </w:t>
      </w:r>
      <w:r w:rsidRPr="00344745">
        <w:rPr>
          <w:sz w:val="20"/>
          <w:szCs w:val="20"/>
        </w:rPr>
        <w:t>Iowa commercial turtle harvest (lbs) of snappi</w:t>
      </w:r>
      <w:r w:rsidR="008F1E46" w:rsidRPr="00344745">
        <w:rPr>
          <w:sz w:val="20"/>
          <w:szCs w:val="20"/>
        </w:rPr>
        <w:t>ng and softshell turtle from 2008-2012</w:t>
      </w:r>
      <w:r w:rsidRPr="00344745">
        <w:rPr>
          <w:sz w:val="20"/>
          <w:szCs w:val="20"/>
        </w:rPr>
        <w:t>.</w:t>
      </w:r>
    </w:p>
    <w:p w:rsidR="0097567D" w:rsidRPr="00146E08" w:rsidRDefault="0097567D" w:rsidP="00AB34D0">
      <w:pPr>
        <w:jc w:val="both"/>
        <w:rPr>
          <w:b/>
          <w:i/>
        </w:rPr>
      </w:pPr>
      <w:proofErr w:type="gramStart"/>
      <w:r>
        <w:rPr>
          <w:b/>
          <w:i/>
        </w:rPr>
        <w:t>Turtle harvester opinion survey information</w:t>
      </w:r>
      <w:r w:rsidRPr="00146E08">
        <w:rPr>
          <w:b/>
          <w:i/>
        </w:rPr>
        <w:t>.</w:t>
      </w:r>
      <w:proofErr w:type="gramEnd"/>
    </w:p>
    <w:p w:rsidR="000D792A" w:rsidRDefault="005B1DFD" w:rsidP="00AB34D0">
      <w:pPr>
        <w:spacing w:line="240" w:lineRule="auto"/>
        <w:jc w:val="both"/>
      </w:pPr>
      <w:r>
        <w:t>Commercial turtle harvesters were surveyed to gain an understanding of harvesters</w:t>
      </w:r>
      <w:r w:rsidR="00344745">
        <w:t>’</w:t>
      </w:r>
      <w:r>
        <w:t xml:space="preserve"> attitudes and opinions pertaining to turtle populations, regulations, and reporting procedures in 2002 and 2008.  </w:t>
      </w:r>
      <w:r w:rsidR="006A0486">
        <w:t xml:space="preserve">Responses </w:t>
      </w:r>
      <w:r>
        <w:t xml:space="preserve">of commercial turtle harvesters </w:t>
      </w:r>
      <w:r w:rsidR="0097567D" w:rsidRPr="00146E08">
        <w:t xml:space="preserve">suggest that </w:t>
      </w:r>
      <w:r w:rsidR="006D33F0">
        <w:t xml:space="preserve">many harvesters are open to regulations (season and/or length limits) and </w:t>
      </w:r>
      <w:r w:rsidR="0097567D" w:rsidRPr="00146E08">
        <w:t>at least some commercial turtle harvesters believe populations may be declining in parts of Iowa.</w:t>
      </w:r>
      <w:r w:rsidR="00364A84">
        <w:t xml:space="preserve">  </w:t>
      </w:r>
      <w:r w:rsidR="000D792A" w:rsidRPr="00364A84">
        <w:t xml:space="preserve">For example on the issue of a harvest season, </w:t>
      </w:r>
      <w:r w:rsidR="00364A84" w:rsidRPr="00364A84">
        <w:t xml:space="preserve">36% of </w:t>
      </w:r>
      <w:r w:rsidR="000D792A" w:rsidRPr="00364A84">
        <w:t xml:space="preserve">harvesters surveyed in 2008, </w:t>
      </w:r>
      <w:r w:rsidR="00364A84" w:rsidRPr="00364A84">
        <w:t xml:space="preserve">indicated that </w:t>
      </w:r>
      <w:r w:rsidR="00FD7FD4" w:rsidRPr="00364A84">
        <w:t>they would welcome some sort</w:t>
      </w:r>
      <w:r w:rsidR="00FD7FD4">
        <w:t xml:space="preserve"> of season on turtles</w:t>
      </w:r>
      <w:r w:rsidR="000D792A">
        <w:t xml:space="preserve">.  </w:t>
      </w:r>
      <w:r w:rsidR="00364A84">
        <w:t xml:space="preserve">Most wanted a six-month season from May through October but </w:t>
      </w:r>
      <w:r w:rsidR="000D792A">
        <w:t xml:space="preserve">some </w:t>
      </w:r>
      <w:r w:rsidR="00364A84">
        <w:t xml:space="preserve">harvesters </w:t>
      </w:r>
      <w:r w:rsidR="000D792A">
        <w:t xml:space="preserve">wanted </w:t>
      </w:r>
      <w:r w:rsidR="00364A84">
        <w:t xml:space="preserve">only </w:t>
      </w:r>
      <w:r w:rsidR="000D792A">
        <w:t xml:space="preserve">a </w:t>
      </w:r>
      <w:r w:rsidR="00364A84">
        <w:t>three- or four-</w:t>
      </w:r>
      <w:r w:rsidR="000D792A">
        <w:t>month open season during the summer</w:t>
      </w:r>
      <w:r w:rsidR="00364A84">
        <w:t xml:space="preserve"> </w:t>
      </w:r>
      <w:r w:rsidR="00FD7FD4">
        <w:t>(Gritters 2009).</w:t>
      </w:r>
    </w:p>
    <w:p w:rsidR="0097567D" w:rsidRPr="00146E08" w:rsidRDefault="0097567D" w:rsidP="00AB34D0">
      <w:pPr>
        <w:jc w:val="both"/>
        <w:rPr>
          <w:b/>
          <w:i/>
        </w:rPr>
      </w:pPr>
      <w:proofErr w:type="gramStart"/>
      <w:r>
        <w:rPr>
          <w:b/>
          <w:i/>
        </w:rPr>
        <w:t>Stocking of turtles</w:t>
      </w:r>
      <w:r w:rsidRPr="00146E08">
        <w:rPr>
          <w:b/>
          <w:i/>
        </w:rPr>
        <w:t>.</w:t>
      </w:r>
      <w:proofErr w:type="gramEnd"/>
    </w:p>
    <w:p w:rsidR="0097567D" w:rsidRDefault="0097567D" w:rsidP="00AB34D0">
      <w:pPr>
        <w:jc w:val="both"/>
      </w:pPr>
      <w:r w:rsidRPr="00146E08">
        <w:t>Stocking of turtles is not a viable option because of the risk of potential skewed sex ratios, genetic diversity issues, disease introduction</w:t>
      </w:r>
      <w:r w:rsidR="00BE6A78">
        <w:t>, and invasive species risks.  Capital to invest in buildings, broodstock and staff to operate a turtle production facility would be cost prohibited.</w:t>
      </w:r>
    </w:p>
    <w:p w:rsidR="00AB34D0" w:rsidRDefault="00AB34D0" w:rsidP="00AB34D0">
      <w:pPr>
        <w:jc w:val="both"/>
        <w:rPr>
          <w:b/>
          <w:sz w:val="28"/>
          <w:szCs w:val="28"/>
        </w:rPr>
      </w:pPr>
    </w:p>
    <w:p w:rsidR="003640CA" w:rsidRPr="00146E08" w:rsidRDefault="003640CA" w:rsidP="00AB34D0">
      <w:pPr>
        <w:jc w:val="both"/>
        <w:rPr>
          <w:b/>
          <w:sz w:val="28"/>
          <w:szCs w:val="28"/>
        </w:rPr>
      </w:pPr>
      <w:r w:rsidRPr="00146E08">
        <w:rPr>
          <w:b/>
          <w:sz w:val="28"/>
          <w:szCs w:val="28"/>
        </w:rPr>
        <w:lastRenderedPageBreak/>
        <w:t>Recommendations</w:t>
      </w:r>
    </w:p>
    <w:p w:rsidR="003118DE" w:rsidRDefault="003640CA" w:rsidP="00AB34D0">
      <w:pPr>
        <w:jc w:val="both"/>
      </w:pPr>
      <w:r w:rsidRPr="00146E08">
        <w:t xml:space="preserve">The committee </w:t>
      </w:r>
      <w:r w:rsidR="00344745">
        <w:t>recommends</w:t>
      </w:r>
      <w:r w:rsidRPr="00146E08">
        <w:t xml:space="preserve"> that commercial turtle harvest in Iowa </w:t>
      </w:r>
      <w:r w:rsidR="003118DE">
        <w:t xml:space="preserve">should </w:t>
      </w:r>
      <w:r w:rsidRPr="00146E08">
        <w:t xml:space="preserve">be closed if turtle populations show signs of population decline.  Lack of mature adults, skewed sex ratios, and decreased stock abundance are all negative impacts to turtle population dynamics that may lead to </w:t>
      </w:r>
      <w:r w:rsidR="003118DE">
        <w:t>population declines</w:t>
      </w:r>
      <w:r w:rsidRPr="00146E08">
        <w:t xml:space="preserve">.  </w:t>
      </w:r>
      <w:r w:rsidR="00DC77CB">
        <w:t>A</w:t>
      </w:r>
      <w:r w:rsidR="00E04468">
        <w:t xml:space="preserve">vailable </w:t>
      </w:r>
      <w:r w:rsidR="009C11A5">
        <w:t>information</w:t>
      </w:r>
      <w:r w:rsidR="00DC77CB">
        <w:t xml:space="preserve"> does not </w:t>
      </w:r>
      <w:r w:rsidR="00E04468">
        <w:t xml:space="preserve">support </w:t>
      </w:r>
      <w:r w:rsidR="00DC77CB">
        <w:t xml:space="preserve">the need for </w:t>
      </w:r>
      <w:r w:rsidR="009C11A5">
        <w:t xml:space="preserve">a complete closure </w:t>
      </w:r>
      <w:r w:rsidR="00C00F48">
        <w:t>at this time</w:t>
      </w:r>
      <w:r w:rsidR="00DC77CB">
        <w:t>; h</w:t>
      </w:r>
      <w:r w:rsidR="003118DE">
        <w:t xml:space="preserve">owever, based on known turtle life history characteristics, </w:t>
      </w:r>
      <w:r w:rsidR="005B6F4C">
        <w:t xml:space="preserve">documented </w:t>
      </w:r>
      <w:r w:rsidR="003118DE">
        <w:t>harvest trends</w:t>
      </w:r>
      <w:r w:rsidR="005B6F4C">
        <w:t>, and current demand, several steps should be taken immediately to reduce the likelihood of overharvest.  The Committee recommends the following changes</w:t>
      </w:r>
      <w:r w:rsidR="009C11A5">
        <w:t xml:space="preserve"> in addition to initiating a rigorous statewide turtle sampling study</w:t>
      </w:r>
      <w:r w:rsidR="005B6F4C">
        <w:t>:</w:t>
      </w:r>
    </w:p>
    <w:p w:rsidR="003118DE" w:rsidRDefault="003118DE" w:rsidP="00AB34D0">
      <w:pPr>
        <w:spacing w:line="240" w:lineRule="auto"/>
        <w:ind w:left="720"/>
        <w:jc w:val="both"/>
        <w:rPr>
          <w:b/>
          <w:i/>
        </w:rPr>
      </w:pPr>
      <w:r w:rsidRPr="003118DE">
        <w:rPr>
          <w:b/>
          <w:i/>
        </w:rPr>
        <w:t>Establish a closed season to allow some turtles to nest prior to being vulnerable to harvest.</w:t>
      </w:r>
    </w:p>
    <w:p w:rsidR="001944EE" w:rsidRDefault="003118DE" w:rsidP="00AB34D0">
      <w:pPr>
        <w:spacing w:line="240" w:lineRule="auto"/>
        <w:ind w:left="720"/>
        <w:jc w:val="both"/>
      </w:pPr>
      <w:r w:rsidRPr="00146E08">
        <w:t xml:space="preserve">Eliminate the commercial and sport harvest of turtles during the majority of the egg-laying period (i.e., May-July 15).  In order to reduce confusion, the closed season would extend from January 1 through July 15 each year.  A closed harvest season will temporarily remove a source of mortality that the DNR can control and, as a result, benefit populations of Iowa’s four harvestable turtle species.  </w:t>
      </w:r>
      <w:r w:rsidR="00DC77CB">
        <w:t xml:space="preserve">Although season will be closed for approximately half of the peak harvest period, turtles that would have normally been harvested before they laid their eggs (i.e., May-mid-July), can still be harvested later in the year after they have laid their eggs </w:t>
      </w:r>
    </w:p>
    <w:p w:rsidR="005B6F4C" w:rsidRPr="005B6F4C" w:rsidRDefault="003640CA" w:rsidP="00AB34D0">
      <w:pPr>
        <w:spacing w:line="240" w:lineRule="auto"/>
        <w:ind w:left="720"/>
        <w:jc w:val="both"/>
        <w:rPr>
          <w:b/>
          <w:i/>
        </w:rPr>
      </w:pPr>
      <w:proofErr w:type="gramStart"/>
      <w:r w:rsidRPr="005B6F4C">
        <w:rPr>
          <w:b/>
          <w:i/>
        </w:rPr>
        <w:t>Mandatory on-line data entry for commercial turtle harvesters.</w:t>
      </w:r>
      <w:proofErr w:type="gramEnd"/>
    </w:p>
    <w:p w:rsidR="00AB34D0" w:rsidRDefault="00BE49A0" w:rsidP="00AB34D0">
      <w:pPr>
        <w:ind w:left="720"/>
        <w:jc w:val="both"/>
      </w:pPr>
      <w:r>
        <w:t>C</w:t>
      </w:r>
      <w:r w:rsidR="005B6F4C" w:rsidRPr="00146E08">
        <w:t xml:space="preserve">reate an on-line system for commercial harvesters to submit monthly harvest reports.  </w:t>
      </w:r>
      <w:r w:rsidR="0097567D">
        <w:t>An</w:t>
      </w:r>
      <w:r w:rsidR="0097567D" w:rsidRPr="00146E08">
        <w:t xml:space="preserve"> </w:t>
      </w:r>
      <w:r w:rsidR="005B6F4C" w:rsidRPr="00146E08">
        <w:t xml:space="preserve">on-line system </w:t>
      </w:r>
      <w:r w:rsidR="0097567D">
        <w:t>w</w:t>
      </w:r>
      <w:r w:rsidR="0097567D" w:rsidRPr="00146E08">
        <w:t xml:space="preserve">ould </w:t>
      </w:r>
      <w:r w:rsidR="005B6F4C" w:rsidRPr="00146E08">
        <w:t>replace the monthly mailing needed to report turtles</w:t>
      </w:r>
      <w:r w:rsidR="0097567D">
        <w:t xml:space="preserve"> and would</w:t>
      </w:r>
      <w:r w:rsidR="005B6F4C" w:rsidRPr="00146E08">
        <w:t xml:space="preserve"> reduce Iowa DNR mailings and increase </w:t>
      </w:r>
      <w:r w:rsidR="0097567D">
        <w:t>law enforcement</w:t>
      </w:r>
      <w:r w:rsidR="0097567D" w:rsidRPr="00146E08">
        <w:t xml:space="preserve"> </w:t>
      </w:r>
      <w:r w:rsidR="005B6F4C" w:rsidRPr="00146E08">
        <w:t xml:space="preserve">efficiency </w:t>
      </w:r>
      <w:r w:rsidR="0097567D">
        <w:t>with</w:t>
      </w:r>
      <w:r w:rsidR="0097567D" w:rsidRPr="00146E08">
        <w:t xml:space="preserve"> </w:t>
      </w:r>
      <w:r w:rsidR="005B6F4C" w:rsidRPr="00146E08">
        <w:t>real-time monitoring of commercial harvest.</w:t>
      </w:r>
      <w:r w:rsidR="003118DE" w:rsidRPr="00146E08">
        <w:t xml:space="preserve"> </w:t>
      </w:r>
    </w:p>
    <w:p w:rsidR="00AB34D0" w:rsidRDefault="00AB34D0" w:rsidP="00AB34D0">
      <w:pPr>
        <w:jc w:val="both"/>
        <w:rPr>
          <w:b/>
        </w:rPr>
      </w:pPr>
    </w:p>
    <w:p w:rsidR="003D18C9" w:rsidRPr="00DC77CB" w:rsidRDefault="003D18C9" w:rsidP="00AB34D0">
      <w:pPr>
        <w:jc w:val="both"/>
        <w:rPr>
          <w:rFonts w:asciiTheme="minorHAnsi" w:hAnsiTheme="minorHAnsi"/>
          <w:b/>
          <w:sz w:val="28"/>
          <w:szCs w:val="28"/>
        </w:rPr>
      </w:pPr>
      <w:r w:rsidRPr="00DC77CB">
        <w:rPr>
          <w:rFonts w:asciiTheme="minorHAnsi" w:hAnsiTheme="minorHAnsi"/>
          <w:b/>
          <w:sz w:val="28"/>
          <w:szCs w:val="28"/>
        </w:rPr>
        <w:t>Literature Cited</w:t>
      </w:r>
    </w:p>
    <w:p w:rsidR="00E04468" w:rsidRPr="00FF1496" w:rsidRDefault="00E04468" w:rsidP="00AB34D0">
      <w:pPr>
        <w:ind w:left="720" w:hanging="720"/>
        <w:rPr>
          <w:rFonts w:asciiTheme="minorHAnsi" w:hAnsiTheme="minorHAnsi" w:cs="AdvTimes"/>
        </w:rPr>
      </w:pPr>
      <w:proofErr w:type="spellStart"/>
      <w:r w:rsidRPr="00FF1496">
        <w:rPr>
          <w:rFonts w:asciiTheme="minorHAnsi" w:hAnsiTheme="minorHAnsi" w:cs="AdvTimes"/>
        </w:rPr>
        <w:t>Beverton</w:t>
      </w:r>
      <w:proofErr w:type="spellEnd"/>
      <w:r w:rsidRPr="00FF1496">
        <w:rPr>
          <w:rFonts w:asciiTheme="minorHAnsi" w:hAnsiTheme="minorHAnsi" w:cs="AdvTimes"/>
        </w:rPr>
        <w:t>, R. J. H.; Holt, S. J., 1957: On the dynamics of exploited fish populations. Chapman and Hall, London.</w:t>
      </w:r>
    </w:p>
    <w:p w:rsidR="00E04468" w:rsidRPr="00FF1496" w:rsidRDefault="00E04468" w:rsidP="00AB34D0">
      <w:pPr>
        <w:ind w:left="720" w:hanging="720"/>
        <w:rPr>
          <w:rFonts w:asciiTheme="minorHAnsi" w:hAnsiTheme="minorHAnsi"/>
        </w:rPr>
      </w:pPr>
      <w:proofErr w:type="spellStart"/>
      <w:r w:rsidRPr="00FF1496">
        <w:rPr>
          <w:rFonts w:asciiTheme="minorHAnsi" w:hAnsiTheme="minorHAnsi"/>
        </w:rPr>
        <w:t>Bronner</w:t>
      </w:r>
      <w:proofErr w:type="spellEnd"/>
      <w:r w:rsidRPr="00FF1496">
        <w:rPr>
          <w:rFonts w:asciiTheme="minorHAnsi" w:hAnsiTheme="minorHAnsi"/>
        </w:rPr>
        <w:t>, S</w:t>
      </w:r>
      <w:r w:rsidR="00FF1496">
        <w:rPr>
          <w:rFonts w:asciiTheme="minorHAnsi" w:hAnsiTheme="minorHAnsi"/>
        </w:rPr>
        <w:t xml:space="preserve">. </w:t>
      </w:r>
      <w:r w:rsidRPr="00FF1496">
        <w:rPr>
          <w:rFonts w:asciiTheme="minorHAnsi" w:hAnsiTheme="minorHAnsi"/>
        </w:rPr>
        <w:t xml:space="preserve">J.  1986.  Grasping Things: Folk Material Culture and Mass Society in America.  </w:t>
      </w:r>
      <w:proofErr w:type="gramStart"/>
      <w:r w:rsidRPr="00FF1496">
        <w:rPr>
          <w:rFonts w:asciiTheme="minorHAnsi" w:hAnsiTheme="minorHAnsi"/>
        </w:rPr>
        <w:t>University Press of Kentucky.</w:t>
      </w:r>
      <w:proofErr w:type="gramEnd"/>
      <w:r w:rsidRPr="00FF1496">
        <w:rPr>
          <w:rFonts w:asciiTheme="minorHAnsi" w:hAnsiTheme="minorHAnsi"/>
        </w:rPr>
        <w:t xml:space="preserve">  Lexington, KY.</w:t>
      </w:r>
    </w:p>
    <w:p w:rsidR="00E04468" w:rsidRPr="00FF1496" w:rsidRDefault="00E04468" w:rsidP="00AB34D0">
      <w:pPr>
        <w:ind w:left="720" w:hanging="720"/>
        <w:rPr>
          <w:rFonts w:asciiTheme="minorHAnsi" w:hAnsiTheme="minorHAnsi"/>
        </w:rPr>
      </w:pPr>
      <w:r w:rsidRPr="00FF1496">
        <w:rPr>
          <w:rFonts w:asciiTheme="minorHAnsi" w:hAnsiTheme="minorHAnsi"/>
        </w:rPr>
        <w:t>Cain, P</w:t>
      </w:r>
      <w:r w:rsidR="00FF1496">
        <w:rPr>
          <w:rFonts w:asciiTheme="minorHAnsi" w:hAnsiTheme="minorHAnsi"/>
        </w:rPr>
        <w:t xml:space="preserve">. </w:t>
      </w:r>
      <w:r w:rsidRPr="00FF1496">
        <w:rPr>
          <w:rFonts w:asciiTheme="minorHAnsi" w:hAnsiTheme="minorHAnsi"/>
        </w:rPr>
        <w:t>W.  2010.  The Cost of Soup:  An Assessment of the Commercial Harvest of Snapping Turtles (</w:t>
      </w:r>
      <w:proofErr w:type="spellStart"/>
      <w:r w:rsidRPr="00FF1496">
        <w:rPr>
          <w:rFonts w:asciiTheme="minorHAnsi" w:hAnsiTheme="minorHAnsi"/>
        </w:rPr>
        <w:t>Chelydra</w:t>
      </w:r>
      <w:proofErr w:type="spellEnd"/>
      <w:r w:rsidRPr="00FF1496">
        <w:rPr>
          <w:rFonts w:asciiTheme="minorHAnsi" w:hAnsiTheme="minorHAnsi"/>
        </w:rPr>
        <w:t xml:space="preserve"> </w:t>
      </w:r>
      <w:proofErr w:type="spellStart"/>
      <w:r w:rsidRPr="00FF1496">
        <w:rPr>
          <w:rFonts w:asciiTheme="minorHAnsi" w:hAnsiTheme="minorHAnsi"/>
        </w:rPr>
        <w:t>serpentina</w:t>
      </w:r>
      <w:proofErr w:type="spellEnd"/>
      <w:r w:rsidRPr="00FF1496">
        <w:rPr>
          <w:rFonts w:asciiTheme="minorHAnsi" w:hAnsiTheme="minorHAnsi"/>
        </w:rPr>
        <w:t xml:space="preserve">) in Maryland.  </w:t>
      </w:r>
      <w:proofErr w:type="gramStart"/>
      <w:r w:rsidRPr="00FF1496">
        <w:rPr>
          <w:rFonts w:asciiTheme="minorHAnsi" w:hAnsiTheme="minorHAnsi"/>
        </w:rPr>
        <w:t>Master’s Thesis, Towson University, Towson, Maryland.</w:t>
      </w:r>
      <w:proofErr w:type="gramEnd"/>
    </w:p>
    <w:p w:rsidR="00E04468" w:rsidRPr="00FF1496" w:rsidRDefault="00E04468" w:rsidP="00AB34D0">
      <w:pPr>
        <w:ind w:left="720" w:hanging="720"/>
        <w:rPr>
          <w:rFonts w:asciiTheme="minorHAnsi" w:hAnsiTheme="minorHAnsi"/>
        </w:rPr>
      </w:pPr>
      <w:proofErr w:type="gramStart"/>
      <w:r w:rsidRPr="00FF1496">
        <w:rPr>
          <w:rFonts w:asciiTheme="minorHAnsi" w:hAnsiTheme="minorHAnsi"/>
        </w:rPr>
        <w:t>Christiansen, J</w:t>
      </w:r>
      <w:r w:rsidR="00FF1496">
        <w:rPr>
          <w:rFonts w:asciiTheme="minorHAnsi" w:hAnsiTheme="minorHAnsi"/>
        </w:rPr>
        <w:t xml:space="preserve">. </w:t>
      </w:r>
      <w:r w:rsidRPr="00FF1496">
        <w:rPr>
          <w:rFonts w:asciiTheme="minorHAnsi" w:hAnsiTheme="minorHAnsi"/>
        </w:rPr>
        <w:t>L</w:t>
      </w:r>
      <w:r w:rsidR="00FF1496">
        <w:rPr>
          <w:rFonts w:asciiTheme="minorHAnsi" w:hAnsiTheme="minorHAnsi"/>
        </w:rPr>
        <w:t>.</w:t>
      </w:r>
      <w:r w:rsidRPr="00FF1496">
        <w:rPr>
          <w:rFonts w:asciiTheme="minorHAnsi" w:hAnsiTheme="minorHAnsi"/>
        </w:rPr>
        <w:t xml:space="preserve"> and R</w:t>
      </w:r>
      <w:r w:rsidR="00FF1496">
        <w:rPr>
          <w:rFonts w:asciiTheme="minorHAnsi" w:hAnsiTheme="minorHAnsi"/>
        </w:rPr>
        <w:t xml:space="preserve">. </w:t>
      </w:r>
      <w:r w:rsidRPr="00FF1496">
        <w:rPr>
          <w:rFonts w:asciiTheme="minorHAnsi" w:hAnsiTheme="minorHAnsi"/>
        </w:rPr>
        <w:t>R</w:t>
      </w:r>
      <w:r w:rsidR="00FF1496">
        <w:rPr>
          <w:rFonts w:asciiTheme="minorHAnsi" w:hAnsiTheme="minorHAnsi"/>
        </w:rPr>
        <w:t>.</w:t>
      </w:r>
      <w:proofErr w:type="gramEnd"/>
      <w:r w:rsidR="00FF1496">
        <w:rPr>
          <w:rFonts w:asciiTheme="minorHAnsi" w:hAnsiTheme="minorHAnsi"/>
        </w:rPr>
        <w:t xml:space="preserve"> </w:t>
      </w:r>
      <w:r w:rsidRPr="00FF1496">
        <w:rPr>
          <w:rFonts w:asciiTheme="minorHAnsi" w:hAnsiTheme="minorHAnsi"/>
        </w:rPr>
        <w:t xml:space="preserve"> </w:t>
      </w:r>
      <w:proofErr w:type="spellStart"/>
      <w:r w:rsidRPr="00FF1496">
        <w:rPr>
          <w:rFonts w:asciiTheme="minorHAnsi" w:hAnsiTheme="minorHAnsi"/>
        </w:rPr>
        <w:t>Burken</w:t>
      </w:r>
      <w:proofErr w:type="spellEnd"/>
      <w:r w:rsidRPr="00FF1496">
        <w:rPr>
          <w:rFonts w:asciiTheme="minorHAnsi" w:hAnsiTheme="minorHAnsi"/>
        </w:rPr>
        <w:t xml:space="preserve">.  1979.  Growth and Maturity of the Snapping Turtle in Iowa. </w:t>
      </w:r>
      <w:proofErr w:type="spellStart"/>
      <w:proofErr w:type="gramStart"/>
      <w:r w:rsidRPr="00FF1496">
        <w:rPr>
          <w:rFonts w:asciiTheme="minorHAnsi" w:hAnsiTheme="minorHAnsi"/>
        </w:rPr>
        <w:t>Herpetologica</w:t>
      </w:r>
      <w:proofErr w:type="spellEnd"/>
      <w:r w:rsidRPr="00FF1496">
        <w:rPr>
          <w:rFonts w:asciiTheme="minorHAnsi" w:hAnsiTheme="minorHAnsi"/>
        </w:rPr>
        <w:t>.</w:t>
      </w:r>
      <w:proofErr w:type="gramEnd"/>
      <w:r w:rsidRPr="00FF1496">
        <w:rPr>
          <w:rFonts w:asciiTheme="minorHAnsi" w:hAnsiTheme="minorHAnsi"/>
        </w:rPr>
        <w:t xml:space="preserve"> 35: 261-266.</w:t>
      </w:r>
    </w:p>
    <w:p w:rsidR="00E04468" w:rsidRPr="00FF1496" w:rsidRDefault="00E04468" w:rsidP="00AB34D0">
      <w:pPr>
        <w:ind w:left="720" w:hanging="720"/>
        <w:rPr>
          <w:rFonts w:asciiTheme="minorHAnsi" w:hAnsiTheme="minorHAnsi"/>
        </w:rPr>
      </w:pPr>
      <w:proofErr w:type="spellStart"/>
      <w:r w:rsidRPr="00FF1496">
        <w:rPr>
          <w:rFonts w:asciiTheme="minorHAnsi" w:hAnsiTheme="minorHAnsi"/>
        </w:rPr>
        <w:t>Congdon</w:t>
      </w:r>
      <w:proofErr w:type="spellEnd"/>
      <w:r w:rsidRPr="00FF1496">
        <w:rPr>
          <w:rFonts w:asciiTheme="minorHAnsi" w:hAnsiTheme="minorHAnsi"/>
        </w:rPr>
        <w:t>, J</w:t>
      </w:r>
      <w:r w:rsidR="00FF1496">
        <w:rPr>
          <w:rFonts w:asciiTheme="minorHAnsi" w:hAnsiTheme="minorHAnsi"/>
        </w:rPr>
        <w:t xml:space="preserve">. </w:t>
      </w:r>
      <w:r w:rsidRPr="00FF1496">
        <w:rPr>
          <w:rFonts w:asciiTheme="minorHAnsi" w:hAnsiTheme="minorHAnsi"/>
        </w:rPr>
        <w:t>D</w:t>
      </w:r>
      <w:r w:rsidR="00FF1496">
        <w:rPr>
          <w:rFonts w:asciiTheme="minorHAnsi" w:hAnsiTheme="minorHAnsi"/>
        </w:rPr>
        <w:t>.</w:t>
      </w:r>
      <w:r w:rsidRPr="00FF1496">
        <w:rPr>
          <w:rFonts w:asciiTheme="minorHAnsi" w:hAnsiTheme="minorHAnsi"/>
        </w:rPr>
        <w:t>, G</w:t>
      </w:r>
      <w:r w:rsidR="00FF1496">
        <w:rPr>
          <w:rFonts w:asciiTheme="minorHAnsi" w:hAnsiTheme="minorHAnsi"/>
        </w:rPr>
        <w:t xml:space="preserve">. </w:t>
      </w:r>
      <w:r w:rsidRPr="00FF1496">
        <w:rPr>
          <w:rFonts w:asciiTheme="minorHAnsi" w:hAnsiTheme="minorHAnsi"/>
        </w:rPr>
        <w:t>L</w:t>
      </w:r>
      <w:r w:rsidR="00FF1496">
        <w:rPr>
          <w:rFonts w:asciiTheme="minorHAnsi" w:hAnsiTheme="minorHAnsi"/>
        </w:rPr>
        <w:t>.</w:t>
      </w:r>
      <w:r w:rsidRPr="00FF1496">
        <w:rPr>
          <w:rFonts w:asciiTheme="minorHAnsi" w:hAnsiTheme="minorHAnsi"/>
        </w:rPr>
        <w:t xml:space="preserve"> </w:t>
      </w:r>
      <w:proofErr w:type="spellStart"/>
      <w:r w:rsidRPr="00FF1496">
        <w:rPr>
          <w:rFonts w:asciiTheme="minorHAnsi" w:hAnsiTheme="minorHAnsi"/>
        </w:rPr>
        <w:t>Breitenbach</w:t>
      </w:r>
      <w:proofErr w:type="spellEnd"/>
      <w:r w:rsidRPr="00FF1496">
        <w:rPr>
          <w:rFonts w:asciiTheme="minorHAnsi" w:hAnsiTheme="minorHAnsi"/>
        </w:rPr>
        <w:t>, R</w:t>
      </w:r>
      <w:r w:rsidR="00FF1496">
        <w:rPr>
          <w:rFonts w:asciiTheme="minorHAnsi" w:hAnsiTheme="minorHAnsi"/>
        </w:rPr>
        <w:t xml:space="preserve">. </w:t>
      </w:r>
      <w:r w:rsidRPr="00FF1496">
        <w:rPr>
          <w:rFonts w:asciiTheme="minorHAnsi" w:hAnsiTheme="minorHAnsi"/>
        </w:rPr>
        <w:t>C</w:t>
      </w:r>
      <w:r w:rsidR="00FF1496">
        <w:rPr>
          <w:rFonts w:asciiTheme="minorHAnsi" w:hAnsiTheme="minorHAnsi"/>
        </w:rPr>
        <w:t>.</w:t>
      </w:r>
      <w:r w:rsidRPr="00FF1496">
        <w:rPr>
          <w:rFonts w:asciiTheme="minorHAnsi" w:hAnsiTheme="minorHAnsi"/>
        </w:rPr>
        <w:t xml:space="preserve"> van </w:t>
      </w:r>
      <w:proofErr w:type="spellStart"/>
      <w:r w:rsidRPr="00FF1496">
        <w:rPr>
          <w:rFonts w:asciiTheme="minorHAnsi" w:hAnsiTheme="minorHAnsi"/>
        </w:rPr>
        <w:t>Loben</w:t>
      </w:r>
      <w:proofErr w:type="spellEnd"/>
      <w:r w:rsidRPr="00FF1496">
        <w:rPr>
          <w:rFonts w:asciiTheme="minorHAnsi" w:hAnsiTheme="minorHAnsi"/>
        </w:rPr>
        <w:t xml:space="preserve"> </w:t>
      </w:r>
      <w:proofErr w:type="spellStart"/>
      <w:r w:rsidRPr="00FF1496">
        <w:rPr>
          <w:rFonts w:asciiTheme="minorHAnsi" w:hAnsiTheme="minorHAnsi"/>
        </w:rPr>
        <w:t>Sels</w:t>
      </w:r>
      <w:proofErr w:type="spellEnd"/>
      <w:r w:rsidRPr="00FF1496">
        <w:rPr>
          <w:rFonts w:asciiTheme="minorHAnsi" w:hAnsiTheme="minorHAnsi"/>
        </w:rPr>
        <w:t>, and D</w:t>
      </w:r>
      <w:r w:rsidR="00FF1496">
        <w:rPr>
          <w:rFonts w:asciiTheme="minorHAnsi" w:hAnsiTheme="minorHAnsi"/>
        </w:rPr>
        <w:t xml:space="preserve">. </w:t>
      </w:r>
      <w:r w:rsidRPr="00FF1496">
        <w:rPr>
          <w:rFonts w:asciiTheme="minorHAnsi" w:hAnsiTheme="minorHAnsi"/>
        </w:rPr>
        <w:t>W</w:t>
      </w:r>
      <w:r w:rsidR="00FF1496">
        <w:rPr>
          <w:rFonts w:asciiTheme="minorHAnsi" w:hAnsiTheme="minorHAnsi"/>
        </w:rPr>
        <w:t>.</w:t>
      </w:r>
      <w:r w:rsidRPr="00FF1496">
        <w:rPr>
          <w:rFonts w:asciiTheme="minorHAnsi" w:hAnsiTheme="minorHAnsi"/>
        </w:rPr>
        <w:t xml:space="preserve"> Tinkle.  1987.  Reproduction and Nesting Ecology of Snapping Turtles (</w:t>
      </w:r>
      <w:proofErr w:type="spellStart"/>
      <w:r w:rsidRPr="00FF1496">
        <w:rPr>
          <w:rFonts w:asciiTheme="minorHAnsi" w:hAnsiTheme="minorHAnsi"/>
          <w:i/>
        </w:rPr>
        <w:t>Chelydra</w:t>
      </w:r>
      <w:proofErr w:type="spellEnd"/>
      <w:r w:rsidRPr="00FF1496">
        <w:rPr>
          <w:rFonts w:asciiTheme="minorHAnsi" w:hAnsiTheme="minorHAnsi"/>
          <w:i/>
        </w:rPr>
        <w:t xml:space="preserve"> </w:t>
      </w:r>
      <w:proofErr w:type="spellStart"/>
      <w:r w:rsidRPr="00FF1496">
        <w:rPr>
          <w:rFonts w:asciiTheme="minorHAnsi" w:hAnsiTheme="minorHAnsi"/>
          <w:i/>
        </w:rPr>
        <w:t>serpentina</w:t>
      </w:r>
      <w:proofErr w:type="spellEnd"/>
      <w:r w:rsidRPr="00FF1496">
        <w:rPr>
          <w:rFonts w:asciiTheme="minorHAnsi" w:hAnsiTheme="minorHAnsi"/>
        </w:rPr>
        <w:t xml:space="preserve">) in Southeastern Michigan.  </w:t>
      </w:r>
      <w:proofErr w:type="spellStart"/>
      <w:r w:rsidRPr="00FF1496">
        <w:rPr>
          <w:rFonts w:asciiTheme="minorHAnsi" w:hAnsiTheme="minorHAnsi"/>
        </w:rPr>
        <w:t>Herpetologica</w:t>
      </w:r>
      <w:proofErr w:type="spellEnd"/>
      <w:r w:rsidRPr="00FF1496">
        <w:rPr>
          <w:rFonts w:asciiTheme="minorHAnsi" w:hAnsiTheme="minorHAnsi"/>
        </w:rPr>
        <w:t xml:space="preserve"> 43:39-54.</w:t>
      </w:r>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lastRenderedPageBreak/>
        <w:t>Congdon</w:t>
      </w:r>
      <w:proofErr w:type="spellEnd"/>
      <w:r w:rsidRPr="00FF1496">
        <w:rPr>
          <w:rFonts w:asciiTheme="minorHAnsi" w:hAnsiTheme="minorHAnsi"/>
        </w:rPr>
        <w:t>, J</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D</w:t>
      </w:r>
      <w:r w:rsidR="00FF1496" w:rsidRPr="00FF1496">
        <w:rPr>
          <w:rFonts w:asciiTheme="minorHAnsi" w:hAnsiTheme="minorHAnsi"/>
        </w:rPr>
        <w:t>.</w:t>
      </w:r>
      <w:r w:rsidRPr="00FF1496">
        <w:rPr>
          <w:rFonts w:asciiTheme="minorHAnsi" w:hAnsiTheme="minorHAnsi"/>
        </w:rPr>
        <w:t xml:space="preserve"> and J</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W</w:t>
      </w:r>
      <w:r w:rsidR="00FF1496" w:rsidRPr="00FF1496">
        <w:rPr>
          <w:rFonts w:asciiTheme="minorHAnsi" w:hAnsiTheme="minorHAnsi"/>
        </w:rPr>
        <w:t>.</w:t>
      </w:r>
      <w:r w:rsidRPr="00FF1496">
        <w:rPr>
          <w:rFonts w:asciiTheme="minorHAnsi" w:hAnsiTheme="minorHAnsi"/>
        </w:rPr>
        <w:t xml:space="preserve"> Gibbons.</w:t>
      </w:r>
      <w:proofErr w:type="gramEnd"/>
      <w:r w:rsidRPr="00FF1496">
        <w:rPr>
          <w:rFonts w:asciiTheme="minorHAnsi" w:hAnsiTheme="minorHAnsi"/>
        </w:rPr>
        <w:t xml:space="preserve">  1990.  The evolution of turtle life histories. </w:t>
      </w:r>
      <w:r w:rsidRPr="00FF1496">
        <w:rPr>
          <w:rFonts w:asciiTheme="minorHAnsi" w:hAnsiTheme="minorHAnsi"/>
          <w:i/>
        </w:rPr>
        <w:t>In</w:t>
      </w:r>
      <w:r w:rsidRPr="00FF1496">
        <w:rPr>
          <w:rFonts w:asciiTheme="minorHAnsi" w:hAnsiTheme="minorHAnsi"/>
        </w:rPr>
        <w:t xml:space="preserve">:  Life History and Ecology of the slider turtle.  </w:t>
      </w:r>
      <w:proofErr w:type="gramStart"/>
      <w:r w:rsidRPr="00FF1496">
        <w:rPr>
          <w:rFonts w:asciiTheme="minorHAnsi" w:hAnsiTheme="minorHAnsi"/>
        </w:rPr>
        <w:t>JW Gibbons (ed.) pp.45-54.</w:t>
      </w:r>
      <w:proofErr w:type="gramEnd"/>
      <w:r w:rsidRPr="00FF1496">
        <w:rPr>
          <w:rFonts w:asciiTheme="minorHAnsi" w:hAnsiTheme="minorHAnsi"/>
        </w:rPr>
        <w:t xml:space="preserve">  Smithsonian Institution Press, Washington, D.C.4</w:t>
      </w:r>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t>Congdon</w:t>
      </w:r>
      <w:proofErr w:type="spellEnd"/>
      <w:r w:rsidRPr="00FF1496">
        <w:rPr>
          <w:rFonts w:asciiTheme="minorHAnsi" w:hAnsiTheme="minorHAnsi"/>
        </w:rPr>
        <w:t>, J</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D</w:t>
      </w:r>
      <w:r w:rsidR="00FF1496" w:rsidRPr="00FF1496">
        <w:rPr>
          <w:rFonts w:asciiTheme="minorHAnsi" w:hAnsiTheme="minorHAnsi"/>
        </w:rPr>
        <w:t>.</w:t>
      </w:r>
      <w:r w:rsidRPr="00FF1496">
        <w:rPr>
          <w:rFonts w:asciiTheme="minorHAnsi" w:hAnsiTheme="minorHAnsi"/>
        </w:rPr>
        <w:t>, A</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E</w:t>
      </w:r>
      <w:r w:rsidR="00FF1496" w:rsidRPr="00FF1496">
        <w:rPr>
          <w:rFonts w:asciiTheme="minorHAnsi" w:hAnsiTheme="minorHAnsi"/>
        </w:rPr>
        <w:t>.</w:t>
      </w:r>
      <w:r w:rsidRPr="00FF1496">
        <w:rPr>
          <w:rFonts w:asciiTheme="minorHAnsi" w:hAnsiTheme="minorHAnsi"/>
        </w:rPr>
        <w:t xml:space="preserve"> Dunham, and R. van </w:t>
      </w:r>
      <w:proofErr w:type="spellStart"/>
      <w:r w:rsidRPr="00FF1496">
        <w:rPr>
          <w:rFonts w:asciiTheme="minorHAnsi" w:hAnsiTheme="minorHAnsi"/>
        </w:rPr>
        <w:t>Loben</w:t>
      </w:r>
      <w:proofErr w:type="spellEnd"/>
      <w:r w:rsidRPr="00FF1496">
        <w:rPr>
          <w:rFonts w:asciiTheme="minorHAnsi" w:hAnsiTheme="minorHAnsi"/>
        </w:rPr>
        <w:t xml:space="preserve"> </w:t>
      </w:r>
      <w:proofErr w:type="spellStart"/>
      <w:r w:rsidRPr="00FF1496">
        <w:rPr>
          <w:rFonts w:asciiTheme="minorHAnsi" w:hAnsiTheme="minorHAnsi"/>
        </w:rPr>
        <w:t>Sels</w:t>
      </w:r>
      <w:proofErr w:type="spellEnd"/>
      <w:r w:rsidRPr="00FF1496">
        <w:rPr>
          <w:rFonts w:asciiTheme="minorHAnsi" w:hAnsiTheme="minorHAnsi"/>
        </w:rPr>
        <w:t>.</w:t>
      </w:r>
      <w:proofErr w:type="gramEnd"/>
      <w:r w:rsidRPr="00FF1496">
        <w:rPr>
          <w:rFonts w:asciiTheme="minorHAnsi" w:hAnsiTheme="minorHAnsi"/>
        </w:rPr>
        <w:t xml:space="preserve">  1994.  Demographics of common snapping turtles (</w:t>
      </w:r>
      <w:proofErr w:type="spellStart"/>
      <w:r w:rsidRPr="00FF1496">
        <w:rPr>
          <w:rFonts w:asciiTheme="minorHAnsi" w:hAnsiTheme="minorHAnsi"/>
        </w:rPr>
        <w:t>Chelydra</w:t>
      </w:r>
      <w:proofErr w:type="spellEnd"/>
      <w:r w:rsidRPr="00FF1496">
        <w:rPr>
          <w:rFonts w:asciiTheme="minorHAnsi" w:hAnsiTheme="minorHAnsi"/>
        </w:rPr>
        <w:t xml:space="preserve"> </w:t>
      </w:r>
      <w:proofErr w:type="spellStart"/>
      <w:r w:rsidRPr="00FF1496">
        <w:rPr>
          <w:rFonts w:asciiTheme="minorHAnsi" w:hAnsiTheme="minorHAnsi"/>
        </w:rPr>
        <w:t>serpentina</w:t>
      </w:r>
      <w:proofErr w:type="spellEnd"/>
      <w:r w:rsidRPr="00FF1496">
        <w:rPr>
          <w:rFonts w:asciiTheme="minorHAnsi" w:hAnsiTheme="minorHAnsi"/>
        </w:rPr>
        <w:t>):  implications for conservation and management of long-lived species.  American Zoologist 34:397-408.</w:t>
      </w:r>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t>Congdon</w:t>
      </w:r>
      <w:proofErr w:type="spellEnd"/>
      <w:r w:rsidRPr="00FF1496">
        <w:rPr>
          <w:rFonts w:asciiTheme="minorHAnsi" w:hAnsiTheme="minorHAnsi"/>
        </w:rPr>
        <w:t>, J</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D</w:t>
      </w:r>
      <w:r w:rsidR="00FF1496" w:rsidRPr="00FF1496">
        <w:rPr>
          <w:rFonts w:asciiTheme="minorHAnsi" w:hAnsiTheme="minorHAnsi"/>
        </w:rPr>
        <w:t>.</w:t>
      </w:r>
      <w:r w:rsidRPr="00FF1496">
        <w:rPr>
          <w:rFonts w:asciiTheme="minorHAnsi" w:hAnsiTheme="minorHAnsi"/>
        </w:rPr>
        <w:t xml:space="preserve"> and A</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E</w:t>
      </w:r>
      <w:r w:rsidR="00FF1496" w:rsidRPr="00FF1496">
        <w:rPr>
          <w:rFonts w:asciiTheme="minorHAnsi" w:hAnsiTheme="minorHAnsi"/>
        </w:rPr>
        <w:t>.</w:t>
      </w:r>
      <w:r w:rsidRPr="00FF1496">
        <w:rPr>
          <w:rFonts w:asciiTheme="minorHAnsi" w:hAnsiTheme="minorHAnsi"/>
        </w:rPr>
        <w:t xml:space="preserve"> Dunham.</w:t>
      </w:r>
      <w:proofErr w:type="gramEnd"/>
      <w:r w:rsidRPr="00FF1496">
        <w:rPr>
          <w:rFonts w:asciiTheme="minorHAnsi" w:hAnsiTheme="minorHAnsi"/>
        </w:rPr>
        <w:t xml:space="preserve">  1994.  Contributions of long-term life history studies to conservation biology. </w:t>
      </w:r>
      <w:r w:rsidRPr="00FF1496">
        <w:rPr>
          <w:rFonts w:asciiTheme="minorHAnsi" w:hAnsiTheme="minorHAnsi"/>
          <w:i/>
        </w:rPr>
        <w:t>In</w:t>
      </w:r>
      <w:r w:rsidRPr="00FF1496">
        <w:rPr>
          <w:rFonts w:asciiTheme="minorHAnsi" w:hAnsiTheme="minorHAnsi"/>
        </w:rPr>
        <w:t xml:space="preserve">:  Principles of Conservation Biology.  </w:t>
      </w:r>
      <w:proofErr w:type="gramStart"/>
      <w:r w:rsidRPr="00FF1496">
        <w:rPr>
          <w:rFonts w:asciiTheme="minorHAnsi" w:hAnsiTheme="minorHAnsi"/>
        </w:rPr>
        <w:t xml:space="preserve">GK </w:t>
      </w:r>
      <w:proofErr w:type="spellStart"/>
      <w:r w:rsidRPr="00FF1496">
        <w:rPr>
          <w:rFonts w:asciiTheme="minorHAnsi" w:hAnsiTheme="minorHAnsi"/>
        </w:rPr>
        <w:t>Meffe</w:t>
      </w:r>
      <w:proofErr w:type="spellEnd"/>
      <w:r w:rsidRPr="00FF1496">
        <w:rPr>
          <w:rFonts w:asciiTheme="minorHAnsi" w:hAnsiTheme="minorHAnsi"/>
        </w:rPr>
        <w:t xml:space="preserve"> and CR </w:t>
      </w:r>
      <w:proofErr w:type="spellStart"/>
      <w:r w:rsidRPr="00FF1496">
        <w:rPr>
          <w:rFonts w:asciiTheme="minorHAnsi" w:hAnsiTheme="minorHAnsi"/>
        </w:rPr>
        <w:t>Caroll</w:t>
      </w:r>
      <w:proofErr w:type="spellEnd"/>
      <w:r w:rsidRPr="00FF1496">
        <w:rPr>
          <w:rFonts w:asciiTheme="minorHAnsi" w:hAnsiTheme="minorHAnsi"/>
        </w:rPr>
        <w:t xml:space="preserve"> (eds.) pp. 205-206.</w:t>
      </w:r>
      <w:proofErr w:type="gramEnd"/>
      <w:r w:rsidRPr="00FF1496">
        <w:rPr>
          <w:rFonts w:asciiTheme="minorHAnsi" w:hAnsiTheme="minorHAnsi"/>
        </w:rPr>
        <w:t xml:space="preserve"> </w:t>
      </w:r>
      <w:proofErr w:type="spellStart"/>
      <w:proofErr w:type="gramStart"/>
      <w:r w:rsidRPr="00FF1496">
        <w:rPr>
          <w:rFonts w:asciiTheme="minorHAnsi" w:hAnsiTheme="minorHAnsi"/>
        </w:rPr>
        <w:t>Sinauer</w:t>
      </w:r>
      <w:proofErr w:type="spellEnd"/>
      <w:r w:rsidRPr="00FF1496">
        <w:rPr>
          <w:rFonts w:asciiTheme="minorHAnsi" w:hAnsiTheme="minorHAnsi"/>
        </w:rPr>
        <w:t xml:space="preserve"> Associates, Massachusetts.</w:t>
      </w:r>
      <w:proofErr w:type="gramEnd"/>
    </w:p>
    <w:p w:rsidR="00E04468" w:rsidRPr="00FF1496" w:rsidRDefault="00E04468" w:rsidP="00AB34D0">
      <w:pPr>
        <w:ind w:left="720" w:hanging="720"/>
        <w:rPr>
          <w:rFonts w:asciiTheme="minorHAnsi" w:hAnsiTheme="minorHAnsi"/>
        </w:rPr>
      </w:pPr>
      <w:proofErr w:type="gramStart"/>
      <w:r w:rsidRPr="00FF1496">
        <w:rPr>
          <w:rFonts w:asciiTheme="minorHAnsi" w:hAnsiTheme="minorHAnsi"/>
        </w:rPr>
        <w:t>Ernst, C</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H</w:t>
      </w:r>
      <w:r w:rsidR="00FF1496" w:rsidRPr="00FF1496">
        <w:rPr>
          <w:rFonts w:asciiTheme="minorHAnsi" w:hAnsiTheme="minorHAnsi"/>
        </w:rPr>
        <w:t>.</w:t>
      </w:r>
      <w:r w:rsidRPr="00FF1496">
        <w:rPr>
          <w:rFonts w:asciiTheme="minorHAnsi" w:hAnsiTheme="minorHAnsi"/>
        </w:rPr>
        <w:t xml:space="preserve"> </w:t>
      </w:r>
      <w:r w:rsidR="00FF1496" w:rsidRPr="00FF1496">
        <w:rPr>
          <w:rFonts w:asciiTheme="minorHAnsi" w:hAnsiTheme="minorHAnsi"/>
        </w:rPr>
        <w:t>a</w:t>
      </w:r>
      <w:r w:rsidRPr="00FF1496">
        <w:rPr>
          <w:rFonts w:asciiTheme="minorHAnsi" w:hAnsiTheme="minorHAnsi"/>
        </w:rPr>
        <w:t>nd J</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 xml:space="preserve">E. </w:t>
      </w:r>
      <w:proofErr w:type="spellStart"/>
      <w:r w:rsidRPr="00FF1496">
        <w:rPr>
          <w:rFonts w:asciiTheme="minorHAnsi" w:hAnsiTheme="minorHAnsi"/>
        </w:rPr>
        <w:t>Lovich</w:t>
      </w:r>
      <w:proofErr w:type="spellEnd"/>
      <w:r w:rsidRPr="00FF1496">
        <w:rPr>
          <w:rFonts w:asciiTheme="minorHAnsi" w:hAnsiTheme="minorHAnsi"/>
        </w:rPr>
        <w:t>.</w:t>
      </w:r>
      <w:proofErr w:type="gramEnd"/>
      <w:r w:rsidRPr="00FF1496">
        <w:rPr>
          <w:rFonts w:asciiTheme="minorHAnsi" w:hAnsiTheme="minorHAnsi"/>
        </w:rPr>
        <w:t xml:space="preserve">  2009.  Turtles of the United States and Canada, 2</w:t>
      </w:r>
      <w:r w:rsidRPr="00FF1496">
        <w:rPr>
          <w:rFonts w:asciiTheme="minorHAnsi" w:hAnsiTheme="minorHAnsi"/>
          <w:vertAlign w:val="superscript"/>
        </w:rPr>
        <w:t>nd</w:t>
      </w:r>
      <w:r w:rsidRPr="00FF1496">
        <w:rPr>
          <w:rFonts w:asciiTheme="minorHAnsi" w:hAnsiTheme="minorHAnsi"/>
        </w:rPr>
        <w:t xml:space="preserve"> Edition.  </w:t>
      </w:r>
      <w:proofErr w:type="gramStart"/>
      <w:r w:rsidRPr="00FF1496">
        <w:rPr>
          <w:rFonts w:asciiTheme="minorHAnsi" w:hAnsiTheme="minorHAnsi"/>
        </w:rPr>
        <w:t>The John Hopkins University Press.</w:t>
      </w:r>
      <w:proofErr w:type="gramEnd"/>
      <w:r w:rsidRPr="00FF1496">
        <w:rPr>
          <w:rFonts w:asciiTheme="minorHAnsi" w:hAnsiTheme="minorHAnsi"/>
        </w:rPr>
        <w:t xml:space="preserve">  Baltimore, MD.  </w:t>
      </w:r>
    </w:p>
    <w:p w:rsidR="00E04468" w:rsidRPr="00FF1496" w:rsidRDefault="00E04468" w:rsidP="00AB34D0">
      <w:pPr>
        <w:ind w:left="720" w:hanging="720"/>
        <w:rPr>
          <w:rFonts w:asciiTheme="minorHAnsi" w:hAnsiTheme="minorHAnsi"/>
        </w:rPr>
      </w:pPr>
      <w:proofErr w:type="gramStart"/>
      <w:r w:rsidRPr="00FF1496">
        <w:rPr>
          <w:rFonts w:asciiTheme="minorHAnsi" w:hAnsiTheme="minorHAnsi"/>
        </w:rPr>
        <w:t>Gibbons, J</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W. and J. Greene.</w:t>
      </w:r>
      <w:proofErr w:type="gramEnd"/>
      <w:r w:rsidRPr="00FF1496">
        <w:rPr>
          <w:rFonts w:asciiTheme="minorHAnsi" w:hAnsiTheme="minorHAnsi"/>
        </w:rPr>
        <w:t xml:space="preserve">  2009.  Turtles: The Animal Answer Guide.  </w:t>
      </w:r>
      <w:proofErr w:type="gramStart"/>
      <w:r w:rsidRPr="00FF1496">
        <w:rPr>
          <w:rFonts w:asciiTheme="minorHAnsi" w:hAnsiTheme="minorHAnsi"/>
        </w:rPr>
        <w:t>The John Hopkins University Press.</w:t>
      </w:r>
      <w:proofErr w:type="gramEnd"/>
      <w:r w:rsidRPr="00FF1496">
        <w:rPr>
          <w:rFonts w:asciiTheme="minorHAnsi" w:hAnsiTheme="minorHAnsi"/>
        </w:rPr>
        <w:t xml:space="preserve">  Baltimore, MD.</w:t>
      </w:r>
    </w:p>
    <w:p w:rsidR="00E04468" w:rsidRPr="00FF1496" w:rsidRDefault="00E04468" w:rsidP="00AB34D0">
      <w:pPr>
        <w:ind w:left="720" w:hanging="720"/>
        <w:rPr>
          <w:rFonts w:asciiTheme="minorHAnsi" w:hAnsiTheme="minorHAnsi"/>
        </w:rPr>
      </w:pPr>
      <w:r w:rsidRPr="00FF1496">
        <w:rPr>
          <w:rFonts w:asciiTheme="minorHAnsi" w:hAnsiTheme="minorHAnsi"/>
        </w:rPr>
        <w:t xml:space="preserve">Gritters, S. A.  </w:t>
      </w:r>
      <w:r w:rsidR="00FF1496" w:rsidRPr="00FF1496">
        <w:rPr>
          <w:rFonts w:asciiTheme="minorHAnsi" w:hAnsiTheme="minorHAnsi"/>
        </w:rPr>
        <w:t xml:space="preserve">2010.  </w:t>
      </w:r>
      <w:r w:rsidRPr="00FF1496">
        <w:rPr>
          <w:rFonts w:asciiTheme="minorHAnsi" w:hAnsiTheme="minorHAnsi"/>
        </w:rPr>
        <w:t>Commercial Turtle Harvester Opinion Survey</w:t>
      </w:r>
      <w:r w:rsidRPr="00FF1496">
        <w:rPr>
          <w:rFonts w:asciiTheme="minorHAnsi" w:hAnsiTheme="minorHAnsi"/>
          <w:u w:val="single"/>
        </w:rPr>
        <w:t xml:space="preserve"> in Iowa 2009 Annual Report</w:t>
      </w:r>
      <w:r w:rsidRPr="00FF1496">
        <w:rPr>
          <w:rFonts w:asciiTheme="minorHAnsi" w:hAnsiTheme="minorHAnsi"/>
        </w:rPr>
        <w:t xml:space="preserve">.  </w:t>
      </w:r>
      <w:proofErr w:type="gramStart"/>
      <w:r w:rsidRPr="00FF1496">
        <w:rPr>
          <w:rFonts w:asciiTheme="minorHAnsi" w:hAnsiTheme="minorHAnsi"/>
        </w:rPr>
        <w:t>Iowa Department of Natural Resources.</w:t>
      </w:r>
      <w:proofErr w:type="gramEnd"/>
    </w:p>
    <w:p w:rsidR="00E04468" w:rsidRPr="00FF1496" w:rsidRDefault="00E04468" w:rsidP="00AB34D0">
      <w:pPr>
        <w:ind w:left="720" w:hanging="720"/>
        <w:rPr>
          <w:rFonts w:asciiTheme="minorHAnsi" w:hAnsiTheme="minorHAnsi"/>
        </w:rPr>
      </w:pPr>
      <w:proofErr w:type="gramStart"/>
      <w:r w:rsidRPr="00FF1496">
        <w:rPr>
          <w:rFonts w:asciiTheme="minorHAnsi" w:hAnsiTheme="minorHAnsi"/>
        </w:rPr>
        <w:t>Hammer, D</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A.</w:t>
      </w:r>
      <w:proofErr w:type="gramEnd"/>
      <w:r w:rsidRPr="00FF1496">
        <w:rPr>
          <w:rFonts w:asciiTheme="minorHAnsi" w:hAnsiTheme="minorHAnsi"/>
        </w:rPr>
        <w:t xml:space="preserve">  1969.  Parameters of a Marsh Snapping Turtle Population, </w:t>
      </w:r>
      <w:proofErr w:type="spellStart"/>
      <w:r w:rsidRPr="00FF1496">
        <w:rPr>
          <w:rFonts w:asciiTheme="minorHAnsi" w:hAnsiTheme="minorHAnsi"/>
        </w:rPr>
        <w:t>LaCreek</w:t>
      </w:r>
      <w:proofErr w:type="spellEnd"/>
      <w:r w:rsidRPr="00FF1496">
        <w:rPr>
          <w:rFonts w:asciiTheme="minorHAnsi" w:hAnsiTheme="minorHAnsi"/>
        </w:rPr>
        <w:t xml:space="preserve"> Refuge, South Dakota, J. </w:t>
      </w:r>
      <w:proofErr w:type="spellStart"/>
      <w:r w:rsidRPr="00FF1496">
        <w:rPr>
          <w:rFonts w:asciiTheme="minorHAnsi" w:hAnsiTheme="minorHAnsi"/>
        </w:rPr>
        <w:t>Wildl</w:t>
      </w:r>
      <w:proofErr w:type="spellEnd"/>
      <w:r w:rsidRPr="00FF1496">
        <w:rPr>
          <w:rFonts w:asciiTheme="minorHAnsi" w:hAnsiTheme="minorHAnsi"/>
        </w:rPr>
        <w:t>. Manage. 33:995-1,005. </w:t>
      </w:r>
    </w:p>
    <w:p w:rsidR="00EC6A4D" w:rsidRPr="00FF1496" w:rsidRDefault="00EC6A4D" w:rsidP="00AB34D0">
      <w:pPr>
        <w:ind w:left="720" w:hanging="720"/>
        <w:rPr>
          <w:rFonts w:asciiTheme="minorHAnsi" w:hAnsiTheme="minorHAnsi"/>
        </w:rPr>
      </w:pPr>
      <w:proofErr w:type="spellStart"/>
      <w:r w:rsidRPr="00FF1496">
        <w:rPr>
          <w:rFonts w:asciiTheme="minorHAnsi" w:hAnsiTheme="minorHAnsi"/>
        </w:rPr>
        <w:t>Haxton</w:t>
      </w:r>
      <w:proofErr w:type="spellEnd"/>
      <w:r w:rsidRPr="00FF1496">
        <w:rPr>
          <w:rFonts w:asciiTheme="minorHAnsi" w:hAnsiTheme="minorHAnsi"/>
        </w:rPr>
        <w:t xml:space="preserve">, T. 2000. </w:t>
      </w:r>
      <w:proofErr w:type="gramStart"/>
      <w:r w:rsidRPr="00FF1496">
        <w:rPr>
          <w:rFonts w:asciiTheme="minorHAnsi" w:hAnsiTheme="minorHAnsi"/>
        </w:rPr>
        <w:t xml:space="preserve">Road mortality of snapping turtles, </w:t>
      </w:r>
      <w:proofErr w:type="spellStart"/>
      <w:r w:rsidRPr="00FF1496">
        <w:rPr>
          <w:rFonts w:asciiTheme="minorHAnsi" w:hAnsiTheme="minorHAnsi"/>
          <w:i/>
          <w:iCs/>
        </w:rPr>
        <w:t>Chelydra</w:t>
      </w:r>
      <w:proofErr w:type="spellEnd"/>
      <w:r w:rsidRPr="00FF1496">
        <w:rPr>
          <w:rFonts w:asciiTheme="minorHAnsi" w:hAnsiTheme="minorHAnsi"/>
          <w:i/>
          <w:iCs/>
        </w:rPr>
        <w:t xml:space="preserve"> </w:t>
      </w:r>
      <w:proofErr w:type="spellStart"/>
      <w:r w:rsidRPr="00FF1496">
        <w:rPr>
          <w:rFonts w:asciiTheme="minorHAnsi" w:hAnsiTheme="minorHAnsi"/>
          <w:i/>
          <w:iCs/>
        </w:rPr>
        <w:t>serpentina</w:t>
      </w:r>
      <w:proofErr w:type="spellEnd"/>
      <w:r w:rsidRPr="00FF1496">
        <w:rPr>
          <w:rFonts w:asciiTheme="minorHAnsi" w:hAnsiTheme="minorHAnsi"/>
          <w:i/>
          <w:iCs/>
        </w:rPr>
        <w:t xml:space="preserve">, </w:t>
      </w:r>
      <w:r w:rsidRPr="00FF1496">
        <w:rPr>
          <w:rFonts w:asciiTheme="minorHAnsi" w:hAnsiTheme="minorHAnsi"/>
        </w:rPr>
        <w:t>in Central Ontario during their nesting season.</w:t>
      </w:r>
      <w:proofErr w:type="gramEnd"/>
      <w:r w:rsidRPr="00FF1496">
        <w:rPr>
          <w:rFonts w:asciiTheme="minorHAnsi" w:hAnsiTheme="minorHAnsi"/>
        </w:rPr>
        <w:t xml:space="preserve"> Can. Field-Nat. 114:106-110.</w:t>
      </w:r>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t>Heppel</w:t>
      </w:r>
      <w:proofErr w:type="spellEnd"/>
      <w:r w:rsidRPr="00FF1496">
        <w:rPr>
          <w:rFonts w:asciiTheme="minorHAnsi" w:hAnsiTheme="minorHAnsi"/>
        </w:rPr>
        <w:t>, S.</w:t>
      </w:r>
      <w:proofErr w:type="gramEnd"/>
      <w:r w:rsidRPr="00FF1496">
        <w:rPr>
          <w:rFonts w:asciiTheme="minorHAnsi" w:hAnsiTheme="minorHAnsi"/>
        </w:rPr>
        <w:t xml:space="preserve">  1988. Application of Life History and Population Model Analysis to Turtle Conservation.  </w:t>
      </w:r>
      <w:proofErr w:type="spellStart"/>
      <w:r w:rsidRPr="00FF1496">
        <w:rPr>
          <w:rFonts w:asciiTheme="minorHAnsi" w:hAnsiTheme="minorHAnsi"/>
        </w:rPr>
        <w:t>Copeia</w:t>
      </w:r>
      <w:proofErr w:type="spellEnd"/>
      <w:r w:rsidRPr="00FF1496">
        <w:rPr>
          <w:rFonts w:asciiTheme="minorHAnsi" w:hAnsiTheme="minorHAnsi"/>
        </w:rPr>
        <w:t xml:space="preserve"> 1998:367-375.</w:t>
      </w:r>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t>Hylton</w:t>
      </w:r>
      <w:proofErr w:type="spellEnd"/>
      <w:r w:rsidRPr="00FF1496">
        <w:rPr>
          <w:rFonts w:asciiTheme="minorHAnsi" w:hAnsiTheme="minorHAnsi"/>
        </w:rPr>
        <w:t>, H.</w:t>
      </w:r>
      <w:proofErr w:type="gramEnd"/>
      <w:r w:rsidRPr="00FF1496">
        <w:rPr>
          <w:rFonts w:asciiTheme="minorHAnsi" w:hAnsiTheme="minorHAnsi"/>
        </w:rPr>
        <w:t xml:space="preserve">  2007.  Keeping U.S. Turtles Out of China.  </w:t>
      </w:r>
      <w:proofErr w:type="gramStart"/>
      <w:r w:rsidRPr="00FF1496">
        <w:rPr>
          <w:rFonts w:asciiTheme="minorHAnsi" w:hAnsiTheme="minorHAnsi"/>
        </w:rPr>
        <w:t>Time.</w:t>
      </w:r>
      <w:proofErr w:type="gramEnd"/>
      <w:r w:rsidRPr="00FF1496">
        <w:rPr>
          <w:rFonts w:asciiTheme="minorHAnsi" w:hAnsiTheme="minorHAnsi"/>
        </w:rPr>
        <w:t xml:space="preserve">  On-line article:</w:t>
      </w:r>
      <w:r w:rsidR="00AB34D0" w:rsidRPr="00FF1496">
        <w:rPr>
          <w:rFonts w:asciiTheme="minorHAnsi" w:hAnsiTheme="minorHAnsi"/>
        </w:rPr>
        <w:t xml:space="preserve"> </w:t>
      </w:r>
      <w:r w:rsidRPr="00FF1496">
        <w:rPr>
          <w:rFonts w:asciiTheme="minorHAnsi" w:hAnsiTheme="minorHAnsi"/>
        </w:rPr>
        <w:t>http://www.time.com/time/health/article/0,8599,1618565,00.html last accessed 7/26/2010.</w:t>
      </w:r>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t>Nanjappa</w:t>
      </w:r>
      <w:proofErr w:type="spellEnd"/>
      <w:r w:rsidRPr="00FF1496">
        <w:rPr>
          <w:rFonts w:asciiTheme="minorHAnsi" w:hAnsiTheme="minorHAnsi"/>
        </w:rPr>
        <w:t>, P. and P. Conrad.</w:t>
      </w:r>
      <w:proofErr w:type="gramEnd"/>
      <w:r w:rsidRPr="00FF1496">
        <w:rPr>
          <w:rFonts w:asciiTheme="minorHAnsi" w:hAnsiTheme="minorHAnsi"/>
        </w:rPr>
        <w:t xml:space="preserve">  2010.  Legal Authority </w:t>
      </w:r>
      <w:proofErr w:type="gramStart"/>
      <w:r w:rsidRPr="00FF1496">
        <w:rPr>
          <w:rFonts w:asciiTheme="minorHAnsi" w:hAnsiTheme="minorHAnsi"/>
        </w:rPr>
        <w:t>Over</w:t>
      </w:r>
      <w:proofErr w:type="gramEnd"/>
      <w:r w:rsidRPr="00FF1496">
        <w:rPr>
          <w:rFonts w:asciiTheme="minorHAnsi" w:hAnsiTheme="minorHAnsi"/>
        </w:rPr>
        <w:t xml:space="preserve"> the Use of Native Amphibians and Reptiles in the U.S.  </w:t>
      </w:r>
      <w:proofErr w:type="gramStart"/>
      <w:r w:rsidRPr="00FF1496">
        <w:rPr>
          <w:rFonts w:asciiTheme="minorHAnsi" w:hAnsiTheme="minorHAnsi"/>
        </w:rPr>
        <w:t>Association of Fish and Wildlife Agencies.</w:t>
      </w:r>
      <w:proofErr w:type="gramEnd"/>
      <w:r w:rsidRPr="00FF1496">
        <w:rPr>
          <w:rFonts w:asciiTheme="minorHAnsi" w:hAnsiTheme="minorHAnsi"/>
        </w:rPr>
        <w:t xml:space="preserve">  Washington, DC.</w:t>
      </w:r>
    </w:p>
    <w:p w:rsidR="00E04468" w:rsidRPr="00FF1496" w:rsidRDefault="00E04468" w:rsidP="00AB34D0">
      <w:pPr>
        <w:ind w:left="720" w:hanging="720"/>
        <w:rPr>
          <w:rFonts w:asciiTheme="minorHAnsi" w:hAnsiTheme="minorHAnsi"/>
        </w:rPr>
      </w:pPr>
      <w:proofErr w:type="gramStart"/>
      <w:r w:rsidRPr="00FF1496">
        <w:rPr>
          <w:rFonts w:asciiTheme="minorHAnsi" w:hAnsiTheme="minorHAnsi"/>
        </w:rPr>
        <w:t>Osterkamp, K. and K. Hanson.</w:t>
      </w:r>
      <w:proofErr w:type="gramEnd"/>
      <w:r w:rsidRPr="00FF1496">
        <w:rPr>
          <w:rFonts w:asciiTheme="minorHAnsi" w:hAnsiTheme="minorHAnsi"/>
        </w:rPr>
        <w:t> 2012. Commercial Turtle Harvest in Iowa. Fisheries Management Investigations 2012 Annual Report. </w:t>
      </w:r>
      <w:proofErr w:type="gramStart"/>
      <w:r w:rsidRPr="00FF1496">
        <w:rPr>
          <w:rFonts w:asciiTheme="minorHAnsi" w:hAnsiTheme="minorHAnsi"/>
        </w:rPr>
        <w:t>Iowa Department of Natural Resources.</w:t>
      </w:r>
      <w:proofErr w:type="gramEnd"/>
      <w:r w:rsidRPr="00FF1496">
        <w:rPr>
          <w:rFonts w:asciiTheme="minorHAnsi" w:hAnsiTheme="minorHAnsi"/>
        </w:rPr>
        <w:t xml:space="preserve"> Des Moines, IA.</w:t>
      </w:r>
    </w:p>
    <w:p w:rsidR="00E04468" w:rsidRPr="00FF1496" w:rsidRDefault="00E04468" w:rsidP="00AB34D0">
      <w:pPr>
        <w:ind w:left="720" w:hanging="720"/>
        <w:rPr>
          <w:rFonts w:asciiTheme="minorHAnsi" w:hAnsiTheme="minorHAnsi"/>
        </w:rPr>
      </w:pPr>
      <w:r w:rsidRPr="00FF1496">
        <w:rPr>
          <w:rFonts w:asciiTheme="minorHAnsi" w:hAnsiTheme="minorHAnsi"/>
        </w:rPr>
        <w:t>Pritchard, P</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C</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 xml:space="preserve">H.  1989.  The Alligator Snapping Turtle:  Biology and Conservation.  </w:t>
      </w:r>
      <w:proofErr w:type="gramStart"/>
      <w:r w:rsidRPr="00FF1496">
        <w:rPr>
          <w:rFonts w:asciiTheme="minorHAnsi" w:hAnsiTheme="minorHAnsi"/>
        </w:rPr>
        <w:t>Milwaukee, WI, Milwaukee Public Museum.</w:t>
      </w:r>
      <w:proofErr w:type="gramEnd"/>
    </w:p>
    <w:p w:rsidR="00E04468" w:rsidRPr="00FF1496" w:rsidRDefault="00E04468" w:rsidP="00AB34D0">
      <w:pPr>
        <w:ind w:left="720" w:hanging="720"/>
        <w:rPr>
          <w:rFonts w:asciiTheme="minorHAnsi" w:hAnsiTheme="minorHAnsi"/>
        </w:rPr>
      </w:pPr>
      <w:proofErr w:type="gramStart"/>
      <w:r w:rsidRPr="00FF1496">
        <w:rPr>
          <w:rFonts w:asciiTheme="minorHAnsi" w:hAnsiTheme="minorHAnsi"/>
        </w:rPr>
        <w:t>Quinn, T. J.</w:t>
      </w:r>
      <w:r w:rsidR="00FF1496">
        <w:rPr>
          <w:rFonts w:asciiTheme="minorHAnsi" w:hAnsiTheme="minorHAnsi"/>
        </w:rPr>
        <w:t xml:space="preserve"> and</w:t>
      </w:r>
      <w:r w:rsidRPr="00FF1496">
        <w:rPr>
          <w:rFonts w:asciiTheme="minorHAnsi" w:hAnsiTheme="minorHAnsi"/>
        </w:rPr>
        <w:t xml:space="preserve"> </w:t>
      </w:r>
      <w:r w:rsidR="00FF1496">
        <w:rPr>
          <w:rFonts w:asciiTheme="minorHAnsi" w:hAnsiTheme="minorHAnsi"/>
        </w:rPr>
        <w:t xml:space="preserve">R. B. </w:t>
      </w:r>
      <w:proofErr w:type="spellStart"/>
      <w:r w:rsidRPr="00FF1496">
        <w:rPr>
          <w:rFonts w:asciiTheme="minorHAnsi" w:hAnsiTheme="minorHAnsi"/>
        </w:rPr>
        <w:t>Deriso</w:t>
      </w:r>
      <w:proofErr w:type="spellEnd"/>
      <w:r w:rsidRPr="00FF1496">
        <w:rPr>
          <w:rFonts w:asciiTheme="minorHAnsi" w:hAnsiTheme="minorHAnsi"/>
        </w:rPr>
        <w:t>.</w:t>
      </w:r>
      <w:proofErr w:type="gramEnd"/>
      <w:r w:rsidR="00FF1496">
        <w:rPr>
          <w:rFonts w:asciiTheme="minorHAnsi" w:hAnsiTheme="minorHAnsi"/>
        </w:rPr>
        <w:t xml:space="preserve"> </w:t>
      </w:r>
      <w:r w:rsidRPr="00FF1496">
        <w:rPr>
          <w:rFonts w:asciiTheme="minorHAnsi" w:hAnsiTheme="minorHAnsi"/>
        </w:rPr>
        <w:t xml:space="preserve"> 1999</w:t>
      </w:r>
      <w:r w:rsidR="00FF1496">
        <w:rPr>
          <w:rFonts w:asciiTheme="minorHAnsi" w:hAnsiTheme="minorHAnsi"/>
        </w:rPr>
        <w:t xml:space="preserve">.  </w:t>
      </w:r>
      <w:r w:rsidRPr="00FF1496">
        <w:rPr>
          <w:rFonts w:asciiTheme="minorHAnsi" w:hAnsiTheme="minorHAnsi"/>
        </w:rPr>
        <w:t>Quantitative fish dynamics. Oxford University Press, New York.</w:t>
      </w:r>
    </w:p>
    <w:p w:rsidR="00E04468" w:rsidRPr="00FF1496" w:rsidRDefault="00E04468" w:rsidP="00AB34D0">
      <w:pPr>
        <w:ind w:left="720" w:hanging="720"/>
        <w:rPr>
          <w:rFonts w:asciiTheme="minorHAnsi" w:hAnsiTheme="minorHAnsi"/>
        </w:rPr>
      </w:pPr>
      <w:r w:rsidRPr="00FF1496">
        <w:rPr>
          <w:rFonts w:asciiTheme="minorHAnsi" w:hAnsiTheme="minorHAnsi"/>
        </w:rPr>
        <w:t>Ricker, W. E.</w:t>
      </w:r>
      <w:r w:rsidR="00FF1496">
        <w:rPr>
          <w:rFonts w:asciiTheme="minorHAnsi" w:hAnsiTheme="minorHAnsi"/>
        </w:rPr>
        <w:t xml:space="preserve"> </w:t>
      </w:r>
      <w:r w:rsidRPr="00FF1496">
        <w:rPr>
          <w:rFonts w:asciiTheme="minorHAnsi" w:hAnsiTheme="minorHAnsi"/>
        </w:rPr>
        <w:t xml:space="preserve"> 1975</w:t>
      </w:r>
      <w:r w:rsidR="00FF1496">
        <w:rPr>
          <w:rFonts w:asciiTheme="minorHAnsi" w:hAnsiTheme="minorHAnsi"/>
        </w:rPr>
        <w:t xml:space="preserve">.  </w:t>
      </w:r>
      <w:r w:rsidRPr="00FF1496">
        <w:rPr>
          <w:rFonts w:asciiTheme="minorHAnsi" w:hAnsiTheme="minorHAnsi"/>
        </w:rPr>
        <w:t xml:space="preserve">Computation and interpretation of biological statistics of fish populations. Bull. </w:t>
      </w:r>
      <w:proofErr w:type="gramStart"/>
      <w:r w:rsidRPr="00FF1496">
        <w:rPr>
          <w:rFonts w:asciiTheme="minorHAnsi" w:hAnsiTheme="minorHAnsi"/>
        </w:rPr>
        <w:t>Fish.</w:t>
      </w:r>
      <w:proofErr w:type="gramEnd"/>
      <w:r w:rsidRPr="00FF1496">
        <w:rPr>
          <w:rFonts w:asciiTheme="minorHAnsi" w:hAnsiTheme="minorHAnsi"/>
        </w:rPr>
        <w:t xml:space="preserve"> </w:t>
      </w:r>
      <w:proofErr w:type="gramStart"/>
      <w:r w:rsidRPr="00FF1496">
        <w:rPr>
          <w:rFonts w:asciiTheme="minorHAnsi" w:hAnsiTheme="minorHAnsi"/>
        </w:rPr>
        <w:t xml:space="preserve">Res. Board Can. </w:t>
      </w:r>
      <w:r w:rsidRPr="00FF1496">
        <w:rPr>
          <w:rFonts w:asciiTheme="minorHAnsi" w:hAnsiTheme="minorHAnsi" w:cs="AdvTimes-b"/>
        </w:rPr>
        <w:t xml:space="preserve">1975, </w:t>
      </w:r>
      <w:r w:rsidRPr="00FF1496">
        <w:rPr>
          <w:rFonts w:asciiTheme="minorHAnsi" w:hAnsiTheme="minorHAnsi"/>
        </w:rPr>
        <w:t>382 pp.</w:t>
      </w:r>
      <w:proofErr w:type="gramEnd"/>
    </w:p>
    <w:p w:rsidR="00E04468" w:rsidRPr="00FF1496" w:rsidRDefault="00E04468" w:rsidP="00AB34D0">
      <w:pPr>
        <w:ind w:left="720" w:hanging="720"/>
        <w:rPr>
          <w:rFonts w:asciiTheme="minorHAnsi" w:hAnsiTheme="minorHAnsi"/>
        </w:rPr>
      </w:pPr>
      <w:proofErr w:type="spellStart"/>
      <w:proofErr w:type="gramStart"/>
      <w:r w:rsidRPr="00FF1496">
        <w:rPr>
          <w:rFonts w:asciiTheme="minorHAnsi" w:hAnsiTheme="minorHAnsi"/>
        </w:rPr>
        <w:lastRenderedPageBreak/>
        <w:t>Schleich</w:t>
      </w:r>
      <w:proofErr w:type="spellEnd"/>
      <w:r w:rsidRPr="00FF1496">
        <w:rPr>
          <w:rFonts w:asciiTheme="minorHAnsi" w:hAnsiTheme="minorHAnsi"/>
        </w:rPr>
        <w:t>, H</w:t>
      </w:r>
      <w:r w:rsidR="00FF1496" w:rsidRPr="00FF1496">
        <w:rPr>
          <w:rFonts w:asciiTheme="minorHAnsi" w:hAnsiTheme="minorHAnsi"/>
        </w:rPr>
        <w:t>.</w:t>
      </w:r>
      <w:r w:rsidR="00FF1496">
        <w:rPr>
          <w:rFonts w:asciiTheme="minorHAnsi" w:hAnsiTheme="minorHAnsi"/>
        </w:rPr>
        <w:t xml:space="preserve"> </w:t>
      </w:r>
      <w:r w:rsidRPr="00FF1496">
        <w:rPr>
          <w:rFonts w:asciiTheme="minorHAnsi" w:hAnsiTheme="minorHAnsi"/>
        </w:rPr>
        <w:t>H</w:t>
      </w:r>
      <w:r w:rsidR="00FF1496" w:rsidRPr="00FF1496">
        <w:rPr>
          <w:rFonts w:asciiTheme="minorHAnsi" w:hAnsiTheme="minorHAnsi"/>
        </w:rPr>
        <w:t>.</w:t>
      </w:r>
      <w:r w:rsidRPr="00FF1496">
        <w:rPr>
          <w:rFonts w:asciiTheme="minorHAnsi" w:hAnsiTheme="minorHAnsi"/>
        </w:rPr>
        <w:t xml:space="preserve"> and W</w:t>
      </w:r>
      <w:r w:rsidR="00FF1496" w:rsidRPr="00FF1496">
        <w:rPr>
          <w:rFonts w:asciiTheme="minorHAnsi" w:hAnsiTheme="minorHAnsi"/>
        </w:rPr>
        <w:t>.</w:t>
      </w:r>
      <w:r w:rsidRPr="00FF1496">
        <w:rPr>
          <w:rFonts w:asciiTheme="minorHAnsi" w:hAnsiTheme="minorHAnsi"/>
        </w:rPr>
        <w:t xml:space="preserve"> Bohme.</w:t>
      </w:r>
      <w:proofErr w:type="gramEnd"/>
      <w:r w:rsidRPr="00FF1496">
        <w:rPr>
          <w:rFonts w:asciiTheme="minorHAnsi" w:hAnsiTheme="minorHAnsi"/>
        </w:rPr>
        <w:t xml:space="preserve">  1994.  Copper age turtle remains from the dig of </w:t>
      </w:r>
      <w:proofErr w:type="spellStart"/>
      <w:r w:rsidRPr="00FF1496">
        <w:rPr>
          <w:rFonts w:asciiTheme="minorHAnsi" w:hAnsiTheme="minorHAnsi"/>
        </w:rPr>
        <w:t>Durunkulak</w:t>
      </w:r>
      <w:proofErr w:type="spellEnd"/>
      <w:r w:rsidRPr="00FF1496">
        <w:rPr>
          <w:rFonts w:asciiTheme="minorHAnsi" w:hAnsiTheme="minorHAnsi"/>
        </w:rPr>
        <w:t xml:space="preserve"> near </w:t>
      </w:r>
      <w:proofErr w:type="spellStart"/>
      <w:r w:rsidRPr="00FF1496">
        <w:rPr>
          <w:rFonts w:asciiTheme="minorHAnsi" w:hAnsiTheme="minorHAnsi"/>
        </w:rPr>
        <w:t>Tolbuhin</w:t>
      </w:r>
      <w:proofErr w:type="spellEnd"/>
      <w:r w:rsidRPr="00FF1496">
        <w:rPr>
          <w:rFonts w:asciiTheme="minorHAnsi" w:hAnsiTheme="minorHAnsi"/>
        </w:rPr>
        <w:t xml:space="preserve"> in northeastern Bulgaria.  </w:t>
      </w:r>
      <w:proofErr w:type="spellStart"/>
      <w:r w:rsidRPr="00FF1496">
        <w:rPr>
          <w:rFonts w:asciiTheme="minorHAnsi" w:hAnsiTheme="minorHAnsi"/>
        </w:rPr>
        <w:t>Mitteilungen</w:t>
      </w:r>
      <w:proofErr w:type="spellEnd"/>
      <w:r w:rsidRPr="00FF1496">
        <w:rPr>
          <w:rFonts w:asciiTheme="minorHAnsi" w:hAnsiTheme="minorHAnsi"/>
        </w:rPr>
        <w:t xml:space="preserve"> </w:t>
      </w:r>
      <w:proofErr w:type="spellStart"/>
      <w:r w:rsidRPr="00FF1496">
        <w:rPr>
          <w:rFonts w:asciiTheme="minorHAnsi" w:hAnsiTheme="minorHAnsi"/>
        </w:rPr>
        <w:t>der</w:t>
      </w:r>
      <w:proofErr w:type="spellEnd"/>
      <w:r w:rsidRPr="00FF1496">
        <w:rPr>
          <w:rFonts w:asciiTheme="minorHAnsi" w:hAnsiTheme="minorHAnsi"/>
        </w:rPr>
        <w:t xml:space="preserve"> </w:t>
      </w:r>
      <w:proofErr w:type="spellStart"/>
      <w:r w:rsidRPr="00FF1496">
        <w:rPr>
          <w:rFonts w:asciiTheme="minorHAnsi" w:hAnsiTheme="minorHAnsi"/>
        </w:rPr>
        <w:t>Bayerischen</w:t>
      </w:r>
      <w:proofErr w:type="spellEnd"/>
      <w:r w:rsidRPr="00FF1496">
        <w:rPr>
          <w:rFonts w:asciiTheme="minorHAnsi" w:hAnsiTheme="minorHAnsi"/>
        </w:rPr>
        <w:t xml:space="preserve"> </w:t>
      </w:r>
      <w:proofErr w:type="spellStart"/>
      <w:r w:rsidRPr="00FF1496">
        <w:rPr>
          <w:rFonts w:asciiTheme="minorHAnsi" w:hAnsiTheme="minorHAnsi"/>
        </w:rPr>
        <w:t>Staatssammlung</w:t>
      </w:r>
      <w:proofErr w:type="spellEnd"/>
      <w:r w:rsidRPr="00FF1496">
        <w:rPr>
          <w:rFonts w:asciiTheme="minorHAnsi" w:hAnsiTheme="minorHAnsi"/>
        </w:rPr>
        <w:t xml:space="preserve"> fur </w:t>
      </w:r>
      <w:proofErr w:type="spellStart"/>
      <w:r w:rsidRPr="00FF1496">
        <w:rPr>
          <w:rFonts w:asciiTheme="minorHAnsi" w:hAnsiTheme="minorHAnsi"/>
        </w:rPr>
        <w:t>Palaontologie</w:t>
      </w:r>
      <w:proofErr w:type="spellEnd"/>
      <w:r w:rsidRPr="00FF1496">
        <w:rPr>
          <w:rFonts w:asciiTheme="minorHAnsi" w:hAnsiTheme="minorHAnsi"/>
        </w:rPr>
        <w:t xml:space="preserve"> und </w:t>
      </w:r>
      <w:proofErr w:type="spellStart"/>
      <w:r w:rsidRPr="00FF1496">
        <w:rPr>
          <w:rFonts w:asciiTheme="minorHAnsi" w:hAnsiTheme="minorHAnsi"/>
        </w:rPr>
        <w:t>Historische</w:t>
      </w:r>
      <w:proofErr w:type="spellEnd"/>
      <w:r w:rsidRPr="00FF1496">
        <w:rPr>
          <w:rFonts w:asciiTheme="minorHAnsi" w:hAnsiTheme="minorHAnsi"/>
        </w:rPr>
        <w:t xml:space="preserve"> </w:t>
      </w:r>
      <w:proofErr w:type="spellStart"/>
      <w:r w:rsidRPr="00FF1496">
        <w:rPr>
          <w:rFonts w:asciiTheme="minorHAnsi" w:hAnsiTheme="minorHAnsi"/>
        </w:rPr>
        <w:t>Geologie</w:t>
      </w:r>
      <w:proofErr w:type="spellEnd"/>
      <w:r w:rsidRPr="00FF1496">
        <w:rPr>
          <w:rFonts w:asciiTheme="minorHAnsi" w:hAnsiTheme="minorHAnsi"/>
        </w:rPr>
        <w:t>.  34: 199-211.</w:t>
      </w:r>
    </w:p>
    <w:p w:rsidR="00EC6A4D" w:rsidRPr="00FF1496" w:rsidRDefault="00EC6A4D" w:rsidP="00AB34D0">
      <w:pPr>
        <w:ind w:left="720" w:hanging="720"/>
        <w:rPr>
          <w:rFonts w:asciiTheme="minorHAnsi" w:hAnsiTheme="minorHAnsi"/>
        </w:rPr>
      </w:pPr>
      <w:proofErr w:type="gramStart"/>
      <w:r w:rsidRPr="00FF1496">
        <w:rPr>
          <w:rFonts w:asciiTheme="minorHAnsi" w:hAnsiTheme="minorHAnsi"/>
        </w:rPr>
        <w:t>Steen, D.</w:t>
      </w:r>
      <w:r w:rsidR="00FF1496">
        <w:rPr>
          <w:rFonts w:asciiTheme="minorHAnsi" w:hAnsiTheme="minorHAnsi"/>
        </w:rPr>
        <w:t xml:space="preserve"> </w:t>
      </w:r>
      <w:r w:rsidRPr="00FF1496">
        <w:rPr>
          <w:rFonts w:asciiTheme="minorHAnsi" w:hAnsiTheme="minorHAnsi"/>
        </w:rPr>
        <w:t>A. and J.</w:t>
      </w:r>
      <w:r w:rsidR="00FF1496">
        <w:rPr>
          <w:rFonts w:asciiTheme="minorHAnsi" w:hAnsiTheme="minorHAnsi"/>
        </w:rPr>
        <w:t xml:space="preserve"> </w:t>
      </w:r>
      <w:r w:rsidRPr="00FF1496">
        <w:rPr>
          <w:rFonts w:asciiTheme="minorHAnsi" w:hAnsiTheme="minorHAnsi"/>
        </w:rPr>
        <w:t>P. Gibbs.</w:t>
      </w:r>
      <w:proofErr w:type="gramEnd"/>
      <w:r w:rsidRPr="00FF1496">
        <w:rPr>
          <w:rFonts w:asciiTheme="minorHAnsi" w:hAnsiTheme="minorHAnsi"/>
        </w:rPr>
        <w:t xml:space="preserve"> 2004a. </w:t>
      </w:r>
      <w:proofErr w:type="gramStart"/>
      <w:r w:rsidRPr="00FF1496">
        <w:rPr>
          <w:rFonts w:asciiTheme="minorHAnsi" w:hAnsiTheme="minorHAnsi"/>
        </w:rPr>
        <w:t>Of</w:t>
      </w:r>
      <w:proofErr w:type="gramEnd"/>
      <w:r w:rsidRPr="00FF1496">
        <w:rPr>
          <w:rFonts w:asciiTheme="minorHAnsi" w:hAnsiTheme="minorHAnsi"/>
        </w:rPr>
        <w:t xml:space="preserve"> roads and turtles: A summary of research findings. </w:t>
      </w:r>
      <w:proofErr w:type="gramStart"/>
      <w:r w:rsidRPr="00FF1496">
        <w:rPr>
          <w:rFonts w:asciiTheme="minorHAnsi" w:hAnsiTheme="minorHAnsi"/>
        </w:rPr>
        <w:t>Turtle Tort.</w:t>
      </w:r>
      <w:proofErr w:type="gramEnd"/>
      <w:r w:rsidRPr="00FF1496">
        <w:rPr>
          <w:rFonts w:asciiTheme="minorHAnsi" w:hAnsiTheme="minorHAnsi"/>
        </w:rPr>
        <w:t xml:space="preserve"> </w:t>
      </w:r>
      <w:proofErr w:type="spellStart"/>
      <w:proofErr w:type="gramStart"/>
      <w:r w:rsidRPr="00FF1496">
        <w:rPr>
          <w:rFonts w:asciiTheme="minorHAnsi" w:hAnsiTheme="minorHAnsi"/>
        </w:rPr>
        <w:t>Newsl</w:t>
      </w:r>
      <w:proofErr w:type="spellEnd"/>
      <w:r w:rsidRPr="00FF1496">
        <w:rPr>
          <w:rFonts w:asciiTheme="minorHAnsi" w:hAnsiTheme="minorHAnsi"/>
        </w:rPr>
        <w:t>.</w:t>
      </w:r>
      <w:proofErr w:type="gramEnd"/>
      <w:r w:rsidRPr="00FF1496">
        <w:rPr>
          <w:rFonts w:asciiTheme="minorHAnsi" w:hAnsiTheme="minorHAnsi"/>
        </w:rPr>
        <w:t xml:space="preserve"> 8:8-9.</w:t>
      </w:r>
    </w:p>
    <w:p w:rsidR="00EC6A4D" w:rsidRPr="00FF1496" w:rsidRDefault="00EC6A4D" w:rsidP="00AB34D0">
      <w:pPr>
        <w:ind w:left="720" w:hanging="720"/>
        <w:rPr>
          <w:rFonts w:asciiTheme="minorHAnsi" w:hAnsiTheme="minorHAnsi"/>
        </w:rPr>
      </w:pPr>
      <w:proofErr w:type="gramStart"/>
      <w:r w:rsidRPr="00FF1496">
        <w:rPr>
          <w:rFonts w:asciiTheme="minorHAnsi" w:hAnsiTheme="minorHAnsi"/>
        </w:rPr>
        <w:t>Steen, D.</w:t>
      </w:r>
      <w:r w:rsidR="00FF1496">
        <w:rPr>
          <w:rFonts w:asciiTheme="minorHAnsi" w:hAnsiTheme="minorHAnsi"/>
        </w:rPr>
        <w:t xml:space="preserve"> </w:t>
      </w:r>
      <w:r w:rsidRPr="00FF1496">
        <w:rPr>
          <w:rFonts w:asciiTheme="minorHAnsi" w:hAnsiTheme="minorHAnsi"/>
        </w:rPr>
        <w:t>A. and J.</w:t>
      </w:r>
      <w:r w:rsidR="00FF1496">
        <w:rPr>
          <w:rFonts w:asciiTheme="minorHAnsi" w:hAnsiTheme="minorHAnsi"/>
        </w:rPr>
        <w:t xml:space="preserve"> </w:t>
      </w:r>
      <w:r w:rsidRPr="00FF1496">
        <w:rPr>
          <w:rFonts w:asciiTheme="minorHAnsi" w:hAnsiTheme="minorHAnsi"/>
        </w:rPr>
        <w:t>P. Gibbs.</w:t>
      </w:r>
      <w:proofErr w:type="gramEnd"/>
      <w:r w:rsidRPr="00FF1496">
        <w:rPr>
          <w:rFonts w:asciiTheme="minorHAnsi" w:hAnsiTheme="minorHAnsi"/>
        </w:rPr>
        <w:t xml:space="preserve"> 2004b. Effects of roads on the structure of freshwater turtle populations.  </w:t>
      </w:r>
      <w:proofErr w:type="spellStart"/>
      <w:proofErr w:type="gramStart"/>
      <w:r w:rsidRPr="00FF1496">
        <w:rPr>
          <w:rFonts w:asciiTheme="minorHAnsi" w:hAnsiTheme="minorHAnsi"/>
        </w:rPr>
        <w:t>Conserv</w:t>
      </w:r>
      <w:proofErr w:type="spellEnd"/>
      <w:r w:rsidRPr="00FF1496">
        <w:rPr>
          <w:rFonts w:asciiTheme="minorHAnsi" w:hAnsiTheme="minorHAnsi"/>
        </w:rPr>
        <w:t>.</w:t>
      </w:r>
      <w:proofErr w:type="gramEnd"/>
      <w:r w:rsidRPr="00FF1496">
        <w:rPr>
          <w:rFonts w:asciiTheme="minorHAnsi" w:hAnsiTheme="minorHAnsi"/>
        </w:rPr>
        <w:t xml:space="preserve"> Biol. 18:1,143-1,148.</w:t>
      </w:r>
    </w:p>
    <w:p w:rsidR="00EC6A4D" w:rsidRPr="00FF1496" w:rsidRDefault="00EC6A4D" w:rsidP="00AB34D0">
      <w:pPr>
        <w:ind w:left="720" w:hanging="720"/>
        <w:rPr>
          <w:rFonts w:asciiTheme="minorHAnsi" w:hAnsiTheme="minorHAnsi"/>
        </w:rPr>
      </w:pPr>
      <w:r w:rsidRPr="00FF1496">
        <w:rPr>
          <w:rFonts w:asciiTheme="minorHAnsi" w:hAnsiTheme="minorHAnsi"/>
        </w:rPr>
        <w:t>Steen, D.</w:t>
      </w:r>
      <w:r w:rsidR="00FF1496">
        <w:rPr>
          <w:rFonts w:asciiTheme="minorHAnsi" w:hAnsiTheme="minorHAnsi"/>
        </w:rPr>
        <w:t xml:space="preserve"> </w:t>
      </w:r>
      <w:r w:rsidRPr="00FF1496">
        <w:rPr>
          <w:rFonts w:asciiTheme="minorHAnsi" w:hAnsiTheme="minorHAnsi"/>
        </w:rPr>
        <w:t>A., M.</w:t>
      </w:r>
      <w:r w:rsidR="00FF1496">
        <w:rPr>
          <w:rFonts w:asciiTheme="minorHAnsi" w:hAnsiTheme="minorHAnsi"/>
        </w:rPr>
        <w:t xml:space="preserve"> </w:t>
      </w:r>
      <w:r w:rsidRPr="00FF1496">
        <w:rPr>
          <w:rFonts w:asciiTheme="minorHAnsi" w:hAnsiTheme="minorHAnsi"/>
        </w:rPr>
        <w:t xml:space="preserve">J. </w:t>
      </w:r>
      <w:proofErr w:type="spellStart"/>
      <w:r w:rsidRPr="00FF1496">
        <w:rPr>
          <w:rFonts w:asciiTheme="minorHAnsi" w:hAnsiTheme="minorHAnsi"/>
        </w:rPr>
        <w:t>Aresco</w:t>
      </w:r>
      <w:proofErr w:type="spellEnd"/>
      <w:r w:rsidRPr="00FF1496">
        <w:rPr>
          <w:rFonts w:asciiTheme="minorHAnsi" w:hAnsiTheme="minorHAnsi"/>
        </w:rPr>
        <w:t>, S.</w:t>
      </w:r>
      <w:r w:rsidR="00FF1496">
        <w:rPr>
          <w:rFonts w:asciiTheme="minorHAnsi" w:hAnsiTheme="minorHAnsi"/>
        </w:rPr>
        <w:t xml:space="preserve"> </w:t>
      </w:r>
      <w:r w:rsidRPr="00FF1496">
        <w:rPr>
          <w:rFonts w:asciiTheme="minorHAnsi" w:hAnsiTheme="minorHAnsi"/>
        </w:rPr>
        <w:t xml:space="preserve">G. </w:t>
      </w:r>
      <w:proofErr w:type="spellStart"/>
      <w:r w:rsidRPr="00FF1496">
        <w:rPr>
          <w:rFonts w:asciiTheme="minorHAnsi" w:hAnsiTheme="minorHAnsi"/>
        </w:rPr>
        <w:t>Beilke</w:t>
      </w:r>
      <w:proofErr w:type="spellEnd"/>
      <w:r w:rsidRPr="00FF1496">
        <w:rPr>
          <w:rFonts w:asciiTheme="minorHAnsi" w:hAnsiTheme="minorHAnsi"/>
        </w:rPr>
        <w:t>, B.</w:t>
      </w:r>
      <w:r w:rsidR="00FF1496">
        <w:rPr>
          <w:rFonts w:asciiTheme="minorHAnsi" w:hAnsiTheme="minorHAnsi"/>
        </w:rPr>
        <w:t xml:space="preserve"> </w:t>
      </w:r>
      <w:r w:rsidRPr="00FF1496">
        <w:rPr>
          <w:rFonts w:asciiTheme="minorHAnsi" w:hAnsiTheme="minorHAnsi"/>
        </w:rPr>
        <w:t>W. Compton, E.</w:t>
      </w:r>
      <w:r w:rsidR="00FF1496">
        <w:rPr>
          <w:rFonts w:asciiTheme="minorHAnsi" w:hAnsiTheme="minorHAnsi"/>
        </w:rPr>
        <w:t xml:space="preserve"> </w:t>
      </w:r>
      <w:r w:rsidRPr="00FF1496">
        <w:rPr>
          <w:rFonts w:asciiTheme="minorHAnsi" w:hAnsiTheme="minorHAnsi"/>
        </w:rPr>
        <w:t>P. Condon, C.</w:t>
      </w:r>
      <w:r w:rsidR="00FF1496">
        <w:rPr>
          <w:rFonts w:asciiTheme="minorHAnsi" w:hAnsiTheme="minorHAnsi"/>
        </w:rPr>
        <w:t xml:space="preserve"> </w:t>
      </w:r>
      <w:r w:rsidRPr="00FF1496">
        <w:rPr>
          <w:rFonts w:asciiTheme="minorHAnsi" w:hAnsiTheme="minorHAnsi"/>
        </w:rPr>
        <w:t>K. Dodd Jr., H. Forrester, J.</w:t>
      </w:r>
      <w:r w:rsidR="00FF1496">
        <w:rPr>
          <w:rFonts w:asciiTheme="minorHAnsi" w:hAnsiTheme="minorHAnsi"/>
        </w:rPr>
        <w:t xml:space="preserve"> </w:t>
      </w:r>
      <w:r w:rsidRPr="00FF1496">
        <w:rPr>
          <w:rFonts w:asciiTheme="minorHAnsi" w:hAnsiTheme="minorHAnsi"/>
        </w:rPr>
        <w:t>W. Gibbons, J.</w:t>
      </w:r>
      <w:r w:rsidR="00FF1496">
        <w:rPr>
          <w:rFonts w:asciiTheme="minorHAnsi" w:hAnsiTheme="minorHAnsi"/>
        </w:rPr>
        <w:t xml:space="preserve"> </w:t>
      </w:r>
      <w:r w:rsidRPr="00FF1496">
        <w:rPr>
          <w:rFonts w:asciiTheme="minorHAnsi" w:hAnsiTheme="minorHAnsi"/>
        </w:rPr>
        <w:t>L. Greene, G. Johnson, T.</w:t>
      </w:r>
      <w:r w:rsidR="00FF1496">
        <w:rPr>
          <w:rFonts w:asciiTheme="minorHAnsi" w:hAnsiTheme="minorHAnsi"/>
        </w:rPr>
        <w:t xml:space="preserve"> </w:t>
      </w:r>
      <w:r w:rsidRPr="00FF1496">
        <w:rPr>
          <w:rFonts w:asciiTheme="minorHAnsi" w:hAnsiTheme="minorHAnsi"/>
        </w:rPr>
        <w:t xml:space="preserve">A. </w:t>
      </w:r>
      <w:proofErr w:type="spellStart"/>
      <w:r w:rsidRPr="00FF1496">
        <w:rPr>
          <w:rFonts w:asciiTheme="minorHAnsi" w:hAnsiTheme="minorHAnsi"/>
        </w:rPr>
        <w:t>Langen</w:t>
      </w:r>
      <w:proofErr w:type="spellEnd"/>
      <w:r w:rsidRPr="00FF1496">
        <w:rPr>
          <w:rFonts w:asciiTheme="minorHAnsi" w:hAnsiTheme="minorHAnsi"/>
        </w:rPr>
        <w:t>, M.</w:t>
      </w:r>
      <w:r w:rsidR="00FF1496">
        <w:rPr>
          <w:rFonts w:asciiTheme="minorHAnsi" w:hAnsiTheme="minorHAnsi"/>
        </w:rPr>
        <w:t xml:space="preserve"> </w:t>
      </w:r>
      <w:r w:rsidRPr="00FF1496">
        <w:rPr>
          <w:rFonts w:asciiTheme="minorHAnsi" w:hAnsiTheme="minorHAnsi"/>
        </w:rPr>
        <w:t>J. Oldham, D.</w:t>
      </w:r>
      <w:r w:rsidR="00FF1496">
        <w:rPr>
          <w:rFonts w:asciiTheme="minorHAnsi" w:hAnsiTheme="minorHAnsi"/>
        </w:rPr>
        <w:t xml:space="preserve"> </w:t>
      </w:r>
      <w:r w:rsidRPr="00FF1496">
        <w:rPr>
          <w:rFonts w:asciiTheme="minorHAnsi" w:hAnsiTheme="minorHAnsi"/>
        </w:rPr>
        <w:t xml:space="preserve">N. </w:t>
      </w:r>
      <w:proofErr w:type="spellStart"/>
      <w:r w:rsidRPr="00FF1496">
        <w:rPr>
          <w:rFonts w:asciiTheme="minorHAnsi" w:hAnsiTheme="minorHAnsi"/>
        </w:rPr>
        <w:t>Oxier</w:t>
      </w:r>
      <w:proofErr w:type="spellEnd"/>
      <w:r w:rsidRPr="00FF1496">
        <w:rPr>
          <w:rFonts w:asciiTheme="minorHAnsi" w:hAnsiTheme="minorHAnsi"/>
        </w:rPr>
        <w:t>, R.</w:t>
      </w:r>
      <w:r w:rsidR="00FF1496">
        <w:rPr>
          <w:rFonts w:asciiTheme="minorHAnsi" w:hAnsiTheme="minorHAnsi"/>
        </w:rPr>
        <w:t xml:space="preserve"> </w:t>
      </w:r>
      <w:r w:rsidRPr="00FF1496">
        <w:rPr>
          <w:rFonts w:asciiTheme="minorHAnsi" w:hAnsiTheme="minorHAnsi"/>
        </w:rPr>
        <w:t xml:space="preserve">A. </w:t>
      </w:r>
      <w:proofErr w:type="spellStart"/>
      <w:r w:rsidRPr="00FF1496">
        <w:rPr>
          <w:rFonts w:asciiTheme="minorHAnsi" w:hAnsiTheme="minorHAnsi"/>
        </w:rPr>
        <w:t>Saumure</w:t>
      </w:r>
      <w:proofErr w:type="spellEnd"/>
      <w:r w:rsidRPr="00FF1496">
        <w:rPr>
          <w:rFonts w:asciiTheme="minorHAnsi" w:hAnsiTheme="minorHAnsi"/>
        </w:rPr>
        <w:t>, F.</w:t>
      </w:r>
      <w:r w:rsidR="00FF1496">
        <w:rPr>
          <w:rFonts w:asciiTheme="minorHAnsi" w:hAnsiTheme="minorHAnsi"/>
        </w:rPr>
        <w:t xml:space="preserve"> </w:t>
      </w:r>
      <w:r w:rsidRPr="00FF1496">
        <w:rPr>
          <w:rFonts w:asciiTheme="minorHAnsi" w:hAnsiTheme="minorHAnsi"/>
        </w:rPr>
        <w:t xml:space="preserve">W. </w:t>
      </w:r>
      <w:proofErr w:type="spellStart"/>
      <w:r w:rsidRPr="00FF1496">
        <w:rPr>
          <w:rFonts w:asciiTheme="minorHAnsi" w:hAnsiTheme="minorHAnsi"/>
        </w:rPr>
        <w:t>Schueler</w:t>
      </w:r>
      <w:proofErr w:type="spellEnd"/>
      <w:r w:rsidRPr="00FF1496">
        <w:rPr>
          <w:rFonts w:asciiTheme="minorHAnsi" w:hAnsiTheme="minorHAnsi"/>
        </w:rPr>
        <w:t>, J.</w:t>
      </w:r>
      <w:r w:rsidR="00FF1496">
        <w:rPr>
          <w:rFonts w:asciiTheme="minorHAnsi" w:hAnsiTheme="minorHAnsi"/>
        </w:rPr>
        <w:t xml:space="preserve"> </w:t>
      </w:r>
      <w:r w:rsidRPr="00FF1496">
        <w:rPr>
          <w:rFonts w:asciiTheme="minorHAnsi" w:hAnsiTheme="minorHAnsi"/>
        </w:rPr>
        <w:t xml:space="preserve">M. </w:t>
      </w:r>
      <w:proofErr w:type="spellStart"/>
      <w:r w:rsidRPr="00FF1496">
        <w:rPr>
          <w:rFonts w:asciiTheme="minorHAnsi" w:hAnsiTheme="minorHAnsi"/>
        </w:rPr>
        <w:t>Sleeman</w:t>
      </w:r>
      <w:proofErr w:type="spellEnd"/>
      <w:r w:rsidRPr="00FF1496">
        <w:rPr>
          <w:rFonts w:asciiTheme="minorHAnsi" w:hAnsiTheme="minorHAnsi"/>
        </w:rPr>
        <w:t>, L.</w:t>
      </w:r>
      <w:r w:rsidR="00FF1496">
        <w:rPr>
          <w:rFonts w:asciiTheme="minorHAnsi" w:hAnsiTheme="minorHAnsi"/>
        </w:rPr>
        <w:t xml:space="preserve"> </w:t>
      </w:r>
      <w:r w:rsidRPr="00FF1496">
        <w:rPr>
          <w:rFonts w:asciiTheme="minorHAnsi" w:hAnsiTheme="minorHAnsi"/>
        </w:rPr>
        <w:t>L. Smith, J.</w:t>
      </w:r>
      <w:r w:rsidR="00FF1496">
        <w:rPr>
          <w:rFonts w:asciiTheme="minorHAnsi" w:hAnsiTheme="minorHAnsi"/>
        </w:rPr>
        <w:t xml:space="preserve"> </w:t>
      </w:r>
      <w:r w:rsidRPr="00FF1496">
        <w:rPr>
          <w:rFonts w:asciiTheme="minorHAnsi" w:hAnsiTheme="minorHAnsi"/>
        </w:rPr>
        <w:t>K. Tucker, and J.</w:t>
      </w:r>
      <w:r w:rsidR="00FF1496">
        <w:rPr>
          <w:rFonts w:asciiTheme="minorHAnsi" w:hAnsiTheme="minorHAnsi"/>
        </w:rPr>
        <w:t xml:space="preserve"> </w:t>
      </w:r>
      <w:r w:rsidRPr="00FF1496">
        <w:rPr>
          <w:rFonts w:asciiTheme="minorHAnsi" w:hAnsiTheme="minorHAnsi"/>
        </w:rPr>
        <w:t xml:space="preserve">P. Gibbs. 2006. Relative vulnerability of female turtles to road mortality. Anim. </w:t>
      </w:r>
      <w:proofErr w:type="spellStart"/>
      <w:r w:rsidRPr="00FF1496">
        <w:rPr>
          <w:rFonts w:asciiTheme="minorHAnsi" w:hAnsiTheme="minorHAnsi"/>
        </w:rPr>
        <w:t>Conserv</w:t>
      </w:r>
      <w:proofErr w:type="spellEnd"/>
      <w:r w:rsidRPr="00FF1496">
        <w:rPr>
          <w:rFonts w:asciiTheme="minorHAnsi" w:hAnsiTheme="minorHAnsi"/>
        </w:rPr>
        <w:t>. 9:269-273.</w:t>
      </w:r>
    </w:p>
    <w:p w:rsidR="00E04468" w:rsidRPr="00DC77CB" w:rsidRDefault="00E04468" w:rsidP="00AB34D0">
      <w:pPr>
        <w:ind w:left="720" w:hanging="720"/>
        <w:rPr>
          <w:rFonts w:asciiTheme="minorHAnsi" w:hAnsiTheme="minorHAnsi"/>
          <w:color w:val="000000"/>
        </w:rPr>
      </w:pPr>
      <w:proofErr w:type="gramStart"/>
      <w:r w:rsidRPr="00DC77CB">
        <w:rPr>
          <w:rFonts w:asciiTheme="minorHAnsi" w:hAnsiTheme="minorHAnsi"/>
          <w:color w:val="000000"/>
        </w:rPr>
        <w:t>USDA.</w:t>
      </w:r>
      <w:proofErr w:type="gramEnd"/>
      <w:r w:rsidRPr="00DC77CB">
        <w:rPr>
          <w:rFonts w:asciiTheme="minorHAnsi" w:hAnsiTheme="minorHAnsi"/>
          <w:color w:val="000000"/>
        </w:rPr>
        <w:t xml:space="preserve"> </w:t>
      </w:r>
      <w:proofErr w:type="gramStart"/>
      <w:r w:rsidRPr="00DC77CB">
        <w:rPr>
          <w:rFonts w:asciiTheme="minorHAnsi" w:hAnsiTheme="minorHAnsi"/>
          <w:color w:val="000000"/>
        </w:rPr>
        <w:t>2013. United States Department of Agriculture, Economic Research Service.</w:t>
      </w:r>
      <w:proofErr w:type="gramEnd"/>
      <w:r w:rsidRPr="00DC77CB">
        <w:rPr>
          <w:rFonts w:asciiTheme="minorHAnsi" w:hAnsiTheme="minorHAnsi"/>
          <w:color w:val="000000"/>
        </w:rPr>
        <w:t xml:space="preserve">  Major land uses in the United States 2007. Website: </w:t>
      </w:r>
      <w:hyperlink r:id="rId17" w:history="1">
        <w:r w:rsidRPr="00DC77CB">
          <w:rPr>
            <w:rStyle w:val="Hyperlink"/>
            <w:rFonts w:asciiTheme="minorHAnsi" w:hAnsiTheme="minorHAnsi"/>
          </w:rPr>
          <w:t>http://www.ers.usda.gov/data-products/major-land-uses.aspx last accessed 06/11/2013</w:t>
        </w:r>
      </w:hyperlink>
      <w:r w:rsidRPr="00DC77CB">
        <w:rPr>
          <w:rFonts w:asciiTheme="minorHAnsi" w:hAnsiTheme="minorHAnsi"/>
          <w:color w:val="000000"/>
        </w:rPr>
        <w:t xml:space="preserve"> </w:t>
      </w:r>
    </w:p>
    <w:p w:rsidR="00E04468" w:rsidRPr="00C55504" w:rsidRDefault="00E04468" w:rsidP="00AB34D0">
      <w:pPr>
        <w:ind w:left="720" w:hanging="720"/>
      </w:pPr>
      <w:proofErr w:type="spellStart"/>
      <w:r w:rsidRPr="00DC77CB">
        <w:rPr>
          <w:rFonts w:asciiTheme="minorHAnsi" w:hAnsiTheme="minorHAnsi"/>
        </w:rPr>
        <w:t>Zohrer</w:t>
      </w:r>
      <w:proofErr w:type="spellEnd"/>
      <w:r w:rsidRPr="00DC77CB">
        <w:rPr>
          <w:rFonts w:asciiTheme="minorHAnsi" w:hAnsiTheme="minorHAnsi"/>
        </w:rPr>
        <w:t xml:space="preserve">, J. J.  2006.  The Iowa Comprehensive Wildlife Action Plan.  </w:t>
      </w:r>
      <w:proofErr w:type="gramStart"/>
      <w:r w:rsidRPr="00DC77CB">
        <w:rPr>
          <w:rFonts w:asciiTheme="minorHAnsi" w:hAnsiTheme="minorHAnsi"/>
        </w:rPr>
        <w:t>Iowa Department of Natural Resources, Des Moines, IA</w:t>
      </w:r>
      <w:r w:rsidRPr="00C55504">
        <w:t>.</w:t>
      </w:r>
      <w:proofErr w:type="gramEnd"/>
    </w:p>
    <w:sectPr w:rsidR="00E04468" w:rsidRPr="00C55504" w:rsidSect="00B5454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40" w:rsidRDefault="00327A40" w:rsidP="00E315C2">
      <w:pPr>
        <w:spacing w:after="0" w:line="240" w:lineRule="auto"/>
      </w:pPr>
      <w:r>
        <w:separator/>
      </w:r>
    </w:p>
  </w:endnote>
  <w:endnote w:type="continuationSeparator" w:id="0">
    <w:p w:rsidR="00327A40" w:rsidRDefault="00327A40" w:rsidP="00E31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C2" w:rsidRDefault="00E31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C2" w:rsidRDefault="00E315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C2" w:rsidRDefault="00E31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40" w:rsidRDefault="00327A40" w:rsidP="00E315C2">
      <w:pPr>
        <w:spacing w:after="0" w:line="240" w:lineRule="auto"/>
      </w:pPr>
      <w:r>
        <w:separator/>
      </w:r>
    </w:p>
  </w:footnote>
  <w:footnote w:type="continuationSeparator" w:id="0">
    <w:p w:rsidR="00327A40" w:rsidRDefault="00327A40" w:rsidP="00E31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C2" w:rsidRDefault="00E31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C2" w:rsidRDefault="00E315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C2" w:rsidRDefault="00E31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B81"/>
    <w:multiLevelType w:val="hybridMultilevel"/>
    <w:tmpl w:val="7138D7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E75EC9"/>
    <w:multiLevelType w:val="hybridMultilevel"/>
    <w:tmpl w:val="2F46E7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1C433C9"/>
    <w:multiLevelType w:val="hybridMultilevel"/>
    <w:tmpl w:val="D5EAEBC4"/>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3640CA"/>
    <w:rsid w:val="00041835"/>
    <w:rsid w:val="000479B0"/>
    <w:rsid w:val="00057C34"/>
    <w:rsid w:val="00091DA8"/>
    <w:rsid w:val="000A5F67"/>
    <w:rsid w:val="000B724B"/>
    <w:rsid w:val="000D792A"/>
    <w:rsid w:val="00101FF8"/>
    <w:rsid w:val="001157D7"/>
    <w:rsid w:val="001173A7"/>
    <w:rsid w:val="00120260"/>
    <w:rsid w:val="00132AC9"/>
    <w:rsid w:val="001377AE"/>
    <w:rsid w:val="00146E08"/>
    <w:rsid w:val="00177BA4"/>
    <w:rsid w:val="001944EE"/>
    <w:rsid w:val="001A68A5"/>
    <w:rsid w:val="001A7258"/>
    <w:rsid w:val="001B0721"/>
    <w:rsid w:val="001C4011"/>
    <w:rsid w:val="001D5ABC"/>
    <w:rsid w:val="001D606E"/>
    <w:rsid w:val="00205058"/>
    <w:rsid w:val="002357A1"/>
    <w:rsid w:val="002469E8"/>
    <w:rsid w:val="00261415"/>
    <w:rsid w:val="00265443"/>
    <w:rsid w:val="002677A9"/>
    <w:rsid w:val="00302D20"/>
    <w:rsid w:val="003118DE"/>
    <w:rsid w:val="00327A40"/>
    <w:rsid w:val="003311C2"/>
    <w:rsid w:val="00337C45"/>
    <w:rsid w:val="00344745"/>
    <w:rsid w:val="003450DE"/>
    <w:rsid w:val="00356AD3"/>
    <w:rsid w:val="00361069"/>
    <w:rsid w:val="00362054"/>
    <w:rsid w:val="00363348"/>
    <w:rsid w:val="003640CA"/>
    <w:rsid w:val="00364A84"/>
    <w:rsid w:val="0036788D"/>
    <w:rsid w:val="00377392"/>
    <w:rsid w:val="00386A6A"/>
    <w:rsid w:val="003A1480"/>
    <w:rsid w:val="003B1449"/>
    <w:rsid w:val="003C3C41"/>
    <w:rsid w:val="003D18C9"/>
    <w:rsid w:val="003E0CD8"/>
    <w:rsid w:val="004112EA"/>
    <w:rsid w:val="00433C45"/>
    <w:rsid w:val="00440B6C"/>
    <w:rsid w:val="00466CB0"/>
    <w:rsid w:val="00467089"/>
    <w:rsid w:val="004B0E54"/>
    <w:rsid w:val="004D5357"/>
    <w:rsid w:val="004F5DC9"/>
    <w:rsid w:val="004F6629"/>
    <w:rsid w:val="005045DC"/>
    <w:rsid w:val="00504673"/>
    <w:rsid w:val="0051171D"/>
    <w:rsid w:val="0052603E"/>
    <w:rsid w:val="005308AB"/>
    <w:rsid w:val="00544C56"/>
    <w:rsid w:val="005B1DFD"/>
    <w:rsid w:val="005B6F4C"/>
    <w:rsid w:val="005C46FD"/>
    <w:rsid w:val="005D0425"/>
    <w:rsid w:val="005E0987"/>
    <w:rsid w:val="005E72C4"/>
    <w:rsid w:val="005F6058"/>
    <w:rsid w:val="00652678"/>
    <w:rsid w:val="00666A7E"/>
    <w:rsid w:val="006762F4"/>
    <w:rsid w:val="00693359"/>
    <w:rsid w:val="006A0486"/>
    <w:rsid w:val="006B4013"/>
    <w:rsid w:val="006D33F0"/>
    <w:rsid w:val="006E7AA7"/>
    <w:rsid w:val="00726414"/>
    <w:rsid w:val="007613DF"/>
    <w:rsid w:val="007622BE"/>
    <w:rsid w:val="00774450"/>
    <w:rsid w:val="007B10CF"/>
    <w:rsid w:val="007C2FEB"/>
    <w:rsid w:val="007C6D04"/>
    <w:rsid w:val="007E74DD"/>
    <w:rsid w:val="00820484"/>
    <w:rsid w:val="00824DFB"/>
    <w:rsid w:val="00835C24"/>
    <w:rsid w:val="00836D92"/>
    <w:rsid w:val="00877233"/>
    <w:rsid w:val="008A12F0"/>
    <w:rsid w:val="008D68B1"/>
    <w:rsid w:val="008F16C5"/>
    <w:rsid w:val="008F1E46"/>
    <w:rsid w:val="00905709"/>
    <w:rsid w:val="00906760"/>
    <w:rsid w:val="0091760C"/>
    <w:rsid w:val="00921887"/>
    <w:rsid w:val="00935140"/>
    <w:rsid w:val="00961ADA"/>
    <w:rsid w:val="009639E0"/>
    <w:rsid w:val="00967B5F"/>
    <w:rsid w:val="0097567D"/>
    <w:rsid w:val="009A00F0"/>
    <w:rsid w:val="009B6E8D"/>
    <w:rsid w:val="009C11A5"/>
    <w:rsid w:val="009D73C4"/>
    <w:rsid w:val="00A25590"/>
    <w:rsid w:val="00A60851"/>
    <w:rsid w:val="00A60EB5"/>
    <w:rsid w:val="00A978FC"/>
    <w:rsid w:val="00AB34D0"/>
    <w:rsid w:val="00AC4061"/>
    <w:rsid w:val="00AC4DDA"/>
    <w:rsid w:val="00AD1D21"/>
    <w:rsid w:val="00AF74C8"/>
    <w:rsid w:val="00B3121B"/>
    <w:rsid w:val="00B3592C"/>
    <w:rsid w:val="00B54545"/>
    <w:rsid w:val="00B703C2"/>
    <w:rsid w:val="00B74C3E"/>
    <w:rsid w:val="00BE49A0"/>
    <w:rsid w:val="00BE6A78"/>
    <w:rsid w:val="00BF540D"/>
    <w:rsid w:val="00C00F48"/>
    <w:rsid w:val="00C04A62"/>
    <w:rsid w:val="00C128FB"/>
    <w:rsid w:val="00C41BE4"/>
    <w:rsid w:val="00C46359"/>
    <w:rsid w:val="00C568E3"/>
    <w:rsid w:val="00C94CC5"/>
    <w:rsid w:val="00C95F40"/>
    <w:rsid w:val="00CC0BE8"/>
    <w:rsid w:val="00CD5F88"/>
    <w:rsid w:val="00CF02E0"/>
    <w:rsid w:val="00D44440"/>
    <w:rsid w:val="00D61BEB"/>
    <w:rsid w:val="00D72628"/>
    <w:rsid w:val="00D8076A"/>
    <w:rsid w:val="00DB204E"/>
    <w:rsid w:val="00DC6212"/>
    <w:rsid w:val="00DC77CB"/>
    <w:rsid w:val="00E02E3F"/>
    <w:rsid w:val="00E04468"/>
    <w:rsid w:val="00E04712"/>
    <w:rsid w:val="00E0735D"/>
    <w:rsid w:val="00E315C2"/>
    <w:rsid w:val="00E551E5"/>
    <w:rsid w:val="00E920E4"/>
    <w:rsid w:val="00EA1B6A"/>
    <w:rsid w:val="00EC1BD0"/>
    <w:rsid w:val="00EC6A4D"/>
    <w:rsid w:val="00ED1483"/>
    <w:rsid w:val="00EF208F"/>
    <w:rsid w:val="00F10526"/>
    <w:rsid w:val="00F16028"/>
    <w:rsid w:val="00F8613F"/>
    <w:rsid w:val="00F903AD"/>
    <w:rsid w:val="00FA198B"/>
    <w:rsid w:val="00FB4293"/>
    <w:rsid w:val="00FD7FD4"/>
    <w:rsid w:val="00FE00C3"/>
    <w:rsid w:val="00FE7033"/>
    <w:rsid w:val="00FF1496"/>
    <w:rsid w:val="00FF6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640CA"/>
    <w:rPr>
      <w:rFonts w:cs="Times New Roman"/>
      <w:sz w:val="16"/>
      <w:szCs w:val="16"/>
    </w:rPr>
  </w:style>
  <w:style w:type="paragraph" w:styleId="CommentText">
    <w:name w:val="annotation text"/>
    <w:basedOn w:val="Normal"/>
    <w:link w:val="CommentTextChar"/>
    <w:uiPriority w:val="99"/>
    <w:rsid w:val="003640C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3640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640C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640CA"/>
    <w:rPr>
      <w:b/>
      <w:bCs/>
    </w:rPr>
  </w:style>
  <w:style w:type="paragraph" w:styleId="BodyTextIndent">
    <w:name w:val="Body Text Indent"/>
    <w:basedOn w:val="Normal"/>
    <w:link w:val="BodyTextIndentChar"/>
    <w:uiPriority w:val="99"/>
    <w:rsid w:val="003640CA"/>
    <w:pPr>
      <w:spacing w:after="0" w:line="240" w:lineRule="auto"/>
      <w:ind w:firstLine="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3640CA"/>
    <w:rPr>
      <w:rFonts w:ascii="Times New Roman" w:eastAsia="Times New Roman" w:hAnsi="Times New Roman" w:cs="Times New Roman"/>
      <w:sz w:val="24"/>
      <w:szCs w:val="20"/>
    </w:rPr>
  </w:style>
  <w:style w:type="paragraph" w:styleId="ListParagraph">
    <w:name w:val="List Paragraph"/>
    <w:basedOn w:val="Normal"/>
    <w:uiPriority w:val="34"/>
    <w:qFormat/>
    <w:rsid w:val="003640CA"/>
    <w:pPr>
      <w:ind w:left="720"/>
      <w:contextualSpacing/>
    </w:pPr>
  </w:style>
  <w:style w:type="character" w:styleId="Hyperlink">
    <w:name w:val="Hyperlink"/>
    <w:basedOn w:val="DefaultParagraphFont"/>
    <w:uiPriority w:val="99"/>
    <w:unhideWhenUsed/>
    <w:rsid w:val="00E02E3F"/>
    <w:rPr>
      <w:color w:val="0000FF"/>
      <w:u w:val="single"/>
    </w:rPr>
  </w:style>
  <w:style w:type="paragraph" w:styleId="Header">
    <w:name w:val="header"/>
    <w:basedOn w:val="Normal"/>
    <w:link w:val="HeaderChar"/>
    <w:uiPriority w:val="99"/>
    <w:semiHidden/>
    <w:unhideWhenUsed/>
    <w:rsid w:val="00E31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5C2"/>
    <w:rPr>
      <w:sz w:val="22"/>
      <w:szCs w:val="22"/>
    </w:rPr>
  </w:style>
  <w:style w:type="paragraph" w:styleId="Footer">
    <w:name w:val="footer"/>
    <w:basedOn w:val="Normal"/>
    <w:link w:val="FooterChar"/>
    <w:uiPriority w:val="99"/>
    <w:semiHidden/>
    <w:unhideWhenUsed/>
    <w:rsid w:val="00E31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5C2"/>
    <w:rPr>
      <w:sz w:val="22"/>
      <w:szCs w:val="22"/>
    </w:rPr>
  </w:style>
</w:styles>
</file>

<file path=word/webSettings.xml><?xml version="1.0" encoding="utf-8"?>
<w:webSettings xmlns:r="http://schemas.openxmlformats.org/officeDocument/2006/relationships" xmlns:w="http://schemas.openxmlformats.org/wordprocessingml/2006/main">
  <w:divs>
    <w:div w:id="70085242">
      <w:bodyDiv w:val="1"/>
      <w:marLeft w:val="0"/>
      <w:marRight w:val="0"/>
      <w:marTop w:val="0"/>
      <w:marBottom w:val="0"/>
      <w:divBdr>
        <w:top w:val="none" w:sz="0" w:space="0" w:color="auto"/>
        <w:left w:val="none" w:sz="0" w:space="0" w:color="auto"/>
        <w:bottom w:val="none" w:sz="0" w:space="0" w:color="auto"/>
        <w:right w:val="none" w:sz="0" w:space="0" w:color="auto"/>
      </w:divBdr>
    </w:div>
    <w:div w:id="698314012">
      <w:bodyDiv w:val="1"/>
      <w:marLeft w:val="0"/>
      <w:marRight w:val="0"/>
      <w:marTop w:val="0"/>
      <w:marBottom w:val="0"/>
      <w:divBdr>
        <w:top w:val="none" w:sz="0" w:space="0" w:color="auto"/>
        <w:left w:val="none" w:sz="0" w:space="0" w:color="auto"/>
        <w:bottom w:val="none" w:sz="0" w:space="0" w:color="auto"/>
        <w:right w:val="none" w:sz="0" w:space="0" w:color="auto"/>
      </w:divBdr>
    </w:div>
    <w:div w:id="829834648">
      <w:bodyDiv w:val="1"/>
      <w:marLeft w:val="0"/>
      <w:marRight w:val="0"/>
      <w:marTop w:val="0"/>
      <w:marBottom w:val="0"/>
      <w:divBdr>
        <w:top w:val="none" w:sz="0" w:space="0" w:color="auto"/>
        <w:left w:val="none" w:sz="0" w:space="0" w:color="auto"/>
        <w:bottom w:val="none" w:sz="0" w:space="0" w:color="auto"/>
        <w:right w:val="none" w:sz="0" w:space="0" w:color="auto"/>
      </w:divBdr>
    </w:div>
    <w:div w:id="1088309912">
      <w:bodyDiv w:val="1"/>
      <w:marLeft w:val="0"/>
      <w:marRight w:val="0"/>
      <w:marTop w:val="0"/>
      <w:marBottom w:val="0"/>
      <w:divBdr>
        <w:top w:val="none" w:sz="0" w:space="0" w:color="auto"/>
        <w:left w:val="none" w:sz="0" w:space="0" w:color="auto"/>
        <w:bottom w:val="none" w:sz="0" w:space="0" w:color="auto"/>
        <w:right w:val="none" w:sz="0" w:space="0" w:color="auto"/>
      </w:divBdr>
    </w:div>
    <w:div w:id="1111391144">
      <w:bodyDiv w:val="1"/>
      <w:marLeft w:val="0"/>
      <w:marRight w:val="0"/>
      <w:marTop w:val="0"/>
      <w:marBottom w:val="0"/>
      <w:divBdr>
        <w:top w:val="none" w:sz="0" w:space="0" w:color="auto"/>
        <w:left w:val="none" w:sz="0" w:space="0" w:color="auto"/>
        <w:bottom w:val="none" w:sz="0" w:space="0" w:color="auto"/>
        <w:right w:val="none" w:sz="0" w:space="0" w:color="auto"/>
      </w:divBdr>
    </w:div>
    <w:div w:id="1653635418">
      <w:bodyDiv w:val="1"/>
      <w:marLeft w:val="0"/>
      <w:marRight w:val="0"/>
      <w:marTop w:val="0"/>
      <w:marBottom w:val="0"/>
      <w:divBdr>
        <w:top w:val="none" w:sz="0" w:space="0" w:color="auto"/>
        <w:left w:val="none" w:sz="0" w:space="0" w:color="auto"/>
        <w:bottom w:val="none" w:sz="0" w:space="0" w:color="auto"/>
        <w:right w:val="none" w:sz="0" w:space="0" w:color="auto"/>
      </w:divBdr>
    </w:div>
    <w:div w:id="1728993438">
      <w:bodyDiv w:val="1"/>
      <w:marLeft w:val="0"/>
      <w:marRight w:val="0"/>
      <w:marTop w:val="0"/>
      <w:marBottom w:val="0"/>
      <w:divBdr>
        <w:top w:val="none" w:sz="0" w:space="0" w:color="auto"/>
        <w:left w:val="none" w:sz="0" w:space="0" w:color="auto"/>
        <w:bottom w:val="none" w:sz="0" w:space="0" w:color="auto"/>
        <w:right w:val="none" w:sz="0" w:space="0" w:color="auto"/>
      </w:divBdr>
    </w:div>
    <w:div w:id="1942832597">
      <w:bodyDiv w:val="1"/>
      <w:marLeft w:val="0"/>
      <w:marRight w:val="0"/>
      <w:marTop w:val="0"/>
      <w:marBottom w:val="0"/>
      <w:divBdr>
        <w:top w:val="none" w:sz="0" w:space="0" w:color="auto"/>
        <w:left w:val="none" w:sz="0" w:space="0" w:color="auto"/>
        <w:bottom w:val="none" w:sz="0" w:space="0" w:color="auto"/>
        <w:right w:val="none" w:sz="0" w:space="0" w:color="auto"/>
      </w:divBdr>
    </w:div>
    <w:div w:id="2068339476">
      <w:bodyDiv w:val="1"/>
      <w:marLeft w:val="0"/>
      <w:marRight w:val="0"/>
      <w:marTop w:val="0"/>
      <w:marBottom w:val="0"/>
      <w:divBdr>
        <w:top w:val="none" w:sz="0" w:space="0" w:color="auto"/>
        <w:left w:val="none" w:sz="0" w:space="0" w:color="auto"/>
        <w:bottom w:val="none" w:sz="0" w:space="0" w:color="auto"/>
        <w:right w:val="none" w:sz="0" w:space="0" w:color="auto"/>
      </w:divBdr>
    </w:div>
    <w:div w:id="21400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ers.usda.gov/data-products/major-land-uses.aspx%20last%20accessed%2006/11/2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B8ED-94E8-4B72-B515-9F3B2942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Iowa Department of Natural Resources</Company>
  <LinksUpToDate>false</LinksUpToDate>
  <CharactersWithSpaces>28793</CharactersWithSpaces>
  <SharedDoc>false</SharedDoc>
  <HLinks>
    <vt:vector size="6" baseType="variant">
      <vt:variant>
        <vt:i4>6488166</vt:i4>
      </vt:variant>
      <vt:variant>
        <vt:i4>0</vt:i4>
      </vt:variant>
      <vt:variant>
        <vt:i4>0</vt:i4>
      </vt:variant>
      <vt:variant>
        <vt:i4>5</vt:i4>
      </vt:variant>
      <vt:variant>
        <vt:lpwstr>http://www.ers.usda.gov/data-products/major-land-uses.aspx last accessed 06/11/2013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gscholt</dc:creator>
  <cp:lastModifiedBy>msteuck</cp:lastModifiedBy>
  <cp:revision>4</cp:revision>
  <dcterms:created xsi:type="dcterms:W3CDTF">2013-09-13T19:24:00Z</dcterms:created>
  <dcterms:modified xsi:type="dcterms:W3CDTF">2013-09-13T20:35:00Z</dcterms:modified>
</cp:coreProperties>
</file>